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Portuguese"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Portuguese"/>
        </w:rPr>
        <w:t>Modelo do gráfico de análise de custo-benefício básico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Portuguese"/>
              </w:rPr>
              <w:t>TÍTULO DO PROJETO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Portuguese"/>
              </w:rPr>
              <w:t>AUTOR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Portuguese"/>
              </w:rPr>
              <w:t>DATA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Portuguese"/>
              </w:rPr>
              <w:t>VERSÃO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Portuguese"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Portuguese"/>
              </w:rPr>
              <w:t>GRÁFICO DE ANÁLISE DE CUSTO-BENEFÍCIO BÁSICO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>AÇÃO /ALTERNATIVA PROPOSTA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>BENEFÍCIOS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 xml:space="preserve">IMPACTO DO BENEFÍCIO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Portuguese"/>
              </w:rPr>
              <w:t>HIGH=3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Portuguese"/>
              </w:rPr>
              <w:t>MÉDIO+2 BAIXO=1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>CUSTOS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 xml:space="preserve">IMPACTO DOS CUSTOS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Portuguese"/>
              </w:rPr>
              <w:t>ALTA:3 MEDIUM-2 LOW-1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>RELAÇÃO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Portuguese"/>
              </w:rPr>
              <w:t>BENEFÍCIOS /CUSTOS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Portuguese"/>
              </w:rPr>
              <w:t>RANKING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087&amp;utm_language=PT&amp;utm_source=integrated+content&amp;utm_campaign=/free-cost-benefit-analysis-templates&amp;utm_medium=ic+basiccostbenefitanalysischarttemplate+pt&amp;lpa=ic+basiccostbenefitanalysischarttemplate+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087&amp;utm_language=PT&amp;utm_source=integrated+content&amp;utm_campaign=/free-cost-benefit-analysis-templates&amp;utm_medium=ic+basiccostbenefitanalysischarttemplate+pt&amp;lpa=ic+basiccostbenefitanalysischarttemplate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