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275F7A4D"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7198215</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CA4691" w:rsidR="00CA4691">
        <w:rPr>
          <w:b/>
          <w:color w:val="808080" w:themeColor="background1" w:themeShade="80"/>
          <w:sz w:val="36"/>
          <w:lang w:val="Portuguese"/>
        </w:rPr>
        <w:t>GUIA PARA CRIAR UMA COLABORAÇÃO REMOTA FORTE</w:t>
      </w:r>
    </w:p>
    <w:p w:rsidRPr="004B4E12" w:rsidR="00F91DEA" w:rsidP="006B4529" w14:paraId="14E3B67D" w14:textId="77777777">
      <w:pPr>
        <w:bidi w:val="false"/>
        <w:rPr>
          <w:sz w:val="18"/>
          <w:szCs w:val="18"/>
        </w:rPr>
      </w:pPr>
    </w:p>
    <w:tbl>
      <w:tblPr>
        <w:tblW w:w="14653" w:type="dxa"/>
        <w:tblLook w:val="04A0"/>
      </w:tblPr>
      <w:tblGrid>
        <w:gridCol w:w="1885"/>
        <w:gridCol w:w="7740"/>
        <w:gridCol w:w="5028"/>
      </w:tblGrid>
      <w:tr w:rsidTr="004B4E12" w14:paraId="2A0FBFA6" w14:textId="77777777">
        <w:tblPrEx>
          <w:tblW w:w="14653" w:type="dxa"/>
          <w:tblLook w:val="04A0"/>
        </w:tblPrEx>
        <w:trPr>
          <w:trHeight w:val="360"/>
        </w:trPr>
        <w:tc>
          <w:tcPr>
            <w:tcW w:w="1885" w:type="dxa"/>
            <w:tcBorders>
              <w:top w:val="single" w:color="BFBFBF" w:sz="4" w:space="0"/>
              <w:left w:val="single" w:color="BFBFBF" w:sz="4" w:space="0"/>
              <w:bottom w:val="single" w:color="BFBFBF" w:sz="4" w:space="0"/>
              <w:right w:val="single" w:color="BFBFBF" w:sz="4" w:space="0"/>
            </w:tcBorders>
            <w:shd w:val="clear" w:color="000000" w:fill="D5DCE4"/>
            <w:vAlign w:val="center"/>
            <w:hideMark/>
          </w:tcPr>
          <w:p w:rsidRPr="00F91DEA" w:rsidR="00F91DEA" w:rsidP="00F91DEA" w14:paraId="7EDC9D11" w14:textId="77777777">
            <w:pPr>
              <w:bidi w:val="false"/>
              <w:rPr>
                <w:rFonts w:cs="Calibri"/>
                <w:b/>
                <w:bCs/>
                <w:color w:val="000000"/>
                <w:sz w:val="18"/>
                <w:szCs w:val="18"/>
              </w:rPr>
            </w:pPr>
            <w:r w:rsidRPr="00F91DEA">
              <w:rPr>
                <w:rFonts w:cs="Calibri"/>
                <w:b/>
                <w:color w:val="000000"/>
                <w:sz w:val="18"/>
                <w:szCs w:val="18"/>
                <w:lang w:val="Portuguese"/>
              </w:rPr>
              <w:t>ÁREA DE NEGÓCIOS</w:t>
            </w:r>
          </w:p>
        </w:tc>
        <w:tc>
          <w:tcPr>
            <w:tcW w:w="7740" w:type="dxa"/>
            <w:tcBorders>
              <w:top w:val="single" w:color="BFBFBF" w:sz="4" w:space="0"/>
              <w:left w:val="nil"/>
              <w:bottom w:val="single" w:color="BFBFBF" w:sz="4" w:space="0"/>
              <w:right w:val="single" w:color="BFBFBF" w:sz="4" w:space="0"/>
            </w:tcBorders>
            <w:shd w:val="clear" w:color="000000" w:fill="D5DCE4"/>
            <w:vAlign w:val="center"/>
            <w:hideMark/>
          </w:tcPr>
          <w:p w:rsidRPr="00F91DEA" w:rsidR="00F91DEA" w:rsidP="00F91DEA" w14:paraId="70829633" w14:textId="77777777">
            <w:pPr>
              <w:bidi w:val="false"/>
              <w:rPr>
                <w:rFonts w:cs="Calibri"/>
                <w:b/>
                <w:bCs/>
                <w:color w:val="000000"/>
                <w:sz w:val="18"/>
                <w:szCs w:val="18"/>
              </w:rPr>
            </w:pPr>
            <w:r w:rsidRPr="00F91DEA">
              <w:rPr>
                <w:rFonts w:cs="Calibri"/>
                <w:b/>
                <w:sz w:val="18"/>
                <w:szCs w:val="18"/>
                <w:lang w:val="Portuguese"/>
              </w:rPr>
              <w:t>DICAS</w:t>
            </w:r>
          </w:p>
        </w:tc>
        <w:tc>
          <w:tcPr>
            <w:tcW w:w="5028"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F91DEA" w:rsidR="00F91DEA" w:rsidP="00F91DEA" w14:paraId="5CC91AA3" w14:textId="77777777">
            <w:pPr>
              <w:bidi w:val="false"/>
              <w:rPr>
                <w:rFonts w:cs="Calibri"/>
                <w:b/>
                <w:bCs/>
                <w:color w:val="000000"/>
                <w:sz w:val="18"/>
                <w:szCs w:val="18"/>
              </w:rPr>
            </w:pPr>
            <w:r w:rsidRPr="00F91DEA">
              <w:rPr>
                <w:rFonts w:cs="Calibri"/>
                <w:b/>
                <w:sz w:val="18"/>
                <w:szCs w:val="18"/>
                <w:lang w:val="Portuguese"/>
              </w:rPr>
              <w:t>NOTAS</w:t>
            </w:r>
          </w:p>
        </w:tc>
      </w:tr>
      <w:tr w:rsidTr="004B4E12" w14:paraId="39B91ECA" w14:textId="77777777">
        <w:tblPrEx>
          <w:tblW w:w="14653" w:type="dxa"/>
          <w:tblLook w:val="04A0"/>
        </w:tblPrEx>
        <w:trPr>
          <w:trHeight w:val="1440"/>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39381461" w14:textId="77777777">
            <w:pPr>
              <w:bidi w:val="false"/>
              <w:rPr>
                <w:rFonts w:cs="Calibri"/>
                <w:color w:val="000000"/>
                <w:szCs w:val="20"/>
              </w:rPr>
            </w:pPr>
            <w:r w:rsidRPr="00F91DEA">
              <w:rPr>
                <w:rFonts w:cs="Calibri"/>
                <w:szCs w:val="20"/>
                <w:lang w:val="Portuguese"/>
              </w:rPr>
              <w:t>CONTRATAÇÃO</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3772953F"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Contrate "doers". </w:t>
            </w:r>
          </w:p>
          <w:p w:rsidRPr="001B0D99" w:rsidR="001B0D99" w:rsidP="00012675" w14:paraId="41D45AB8"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Procure por pessoas com fortes habilidades de comunicação por escrito. </w:t>
            </w:r>
          </w:p>
          <w:p w:rsidRPr="001B0D99" w:rsidR="001B0D99" w:rsidP="00012675" w14:paraId="0AA90D9A"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Priorize a autonomia e a confiança. </w:t>
            </w:r>
          </w:p>
          <w:p w:rsidRPr="001B0D99" w:rsidR="00F91DEA" w:rsidP="00012675" w14:paraId="127B8EBC"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Avalie a necessidade das pessoas de um local de trabalho social.  </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291F8835" w14:textId="77777777">
            <w:pPr>
              <w:bidi w:val="false"/>
              <w:rPr>
                <w:rFonts w:cs="Calibri"/>
                <w:color w:val="000000"/>
                <w:sz w:val="18"/>
                <w:szCs w:val="18"/>
              </w:rPr>
            </w:pPr>
            <w:r w:rsidRPr="00F91DEA">
              <w:rPr>
                <w:rFonts w:cs="Calibri"/>
                <w:color w:val="000000"/>
                <w:sz w:val="18"/>
                <w:szCs w:val="18"/>
                <w:lang w:val="Portuguese"/>
              </w:rPr>
              <w:t xml:space="preserve"> </w:t>
            </w:r>
          </w:p>
        </w:tc>
      </w:tr>
      <w:tr w:rsidTr="004B4E12" w14:paraId="28ED1BCF" w14:textId="77777777">
        <w:tblPrEx>
          <w:tblW w:w="14653" w:type="dxa"/>
          <w:tblLook w:val="04A0"/>
        </w:tblPrEx>
        <w:trPr>
          <w:trHeight w:val="1440"/>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0DDEF471" w14:textId="77777777">
            <w:pPr>
              <w:bidi w:val="false"/>
              <w:rPr>
                <w:rFonts w:cs="Calibri"/>
                <w:color w:val="000000"/>
                <w:szCs w:val="20"/>
              </w:rPr>
            </w:pPr>
            <w:r w:rsidRPr="00F91DEA">
              <w:rPr>
                <w:rFonts w:cs="Calibri"/>
                <w:szCs w:val="20"/>
                <w:lang w:val="Portuguese"/>
              </w:rPr>
              <w:t>AGENDAMENTO</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3D544A59"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Defina horas de trabalho.  </w:t>
            </w:r>
          </w:p>
          <w:p w:rsidRPr="001B0D99" w:rsidR="001B0D99" w:rsidP="00012675" w14:paraId="65B5141E"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Mantenha um cronograma para que os membros da equipe possam colaborar de forma confiável. </w:t>
            </w:r>
          </w:p>
          <w:p w:rsidRPr="001B0D99" w:rsidR="00F91DEA" w:rsidP="00012675" w14:paraId="6ED1B04B"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Lembre-se das diferenças de fuso horário (idealmente, deve haver períodos de duas a três horas em que todos possam trabalhar juntos, independentemente da localização). </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7D650E93" w14:textId="77777777">
            <w:pPr>
              <w:bidi w:val="false"/>
              <w:rPr>
                <w:rFonts w:cs="Calibri"/>
                <w:color w:val="000000"/>
                <w:sz w:val="18"/>
                <w:szCs w:val="18"/>
              </w:rPr>
            </w:pPr>
            <w:r w:rsidRPr="00F91DEA">
              <w:rPr>
                <w:rFonts w:cs="Calibri"/>
                <w:color w:val="000000"/>
                <w:sz w:val="18"/>
                <w:szCs w:val="18"/>
                <w:lang w:val="Portuguese"/>
              </w:rPr>
              <w:t xml:space="preserve"> </w:t>
            </w:r>
          </w:p>
        </w:tc>
      </w:tr>
      <w:tr w:rsidTr="004B4E12" w14:paraId="73A2FA1E" w14:textId="77777777">
        <w:tblPrEx>
          <w:tblW w:w="14653" w:type="dxa"/>
          <w:tblLook w:val="04A0"/>
        </w:tblPrEx>
        <w:trPr>
          <w:trHeight w:val="1440"/>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2B509829" w14:textId="77777777">
            <w:pPr>
              <w:bidi w:val="false"/>
              <w:rPr>
                <w:rFonts w:cs="Calibri"/>
                <w:color w:val="000000"/>
                <w:szCs w:val="20"/>
              </w:rPr>
            </w:pPr>
            <w:r w:rsidRPr="00F91DEA">
              <w:rPr>
                <w:rFonts w:cs="Calibri"/>
                <w:szCs w:val="20"/>
                <w:lang w:val="Portuguese"/>
              </w:rPr>
              <w:t>COMPARTILHAMENTO DE CONTEÚDO</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4DEA2D11"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Identifique maneiras de compartilhar conteúdo de maneira transparente entre as equipes. </w:t>
            </w:r>
          </w:p>
          <w:p w:rsidRPr="001B0D99" w:rsidR="001B0D99" w:rsidP="00012675" w14:paraId="2BCFCCA7"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Crie hubs de conteúdo que abrigam toda documentação e recursos. </w:t>
            </w:r>
          </w:p>
          <w:p w:rsidRPr="001B0D99" w:rsidR="001B0D99" w:rsidP="00012675" w14:paraId="5DEAF696"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Siga as convenções de nomenclatura e outros estilos para tornar os recursos acessíveis. </w:t>
            </w:r>
          </w:p>
          <w:p w:rsidRPr="001B0D99" w:rsidR="00F91DEA" w:rsidP="00012675" w14:paraId="1A02C31E"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Certifique-se de que todas as partes relevantes tenham acesso aos documentos, logins, etc. </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77041B94" w14:textId="77777777">
            <w:pPr>
              <w:bidi w:val="false"/>
              <w:rPr>
                <w:rFonts w:cs="Calibri"/>
                <w:color w:val="000000"/>
                <w:sz w:val="18"/>
                <w:szCs w:val="18"/>
              </w:rPr>
            </w:pPr>
            <w:r w:rsidRPr="00F91DEA">
              <w:rPr>
                <w:rFonts w:cs="Calibri"/>
                <w:color w:val="000000"/>
                <w:sz w:val="18"/>
                <w:szCs w:val="18"/>
                <w:lang w:val="Portuguese"/>
              </w:rPr>
              <w:t xml:space="preserve"> </w:t>
            </w:r>
          </w:p>
        </w:tc>
      </w:tr>
      <w:tr w:rsidTr="004B4E12" w14:paraId="1209DEA8" w14:textId="77777777">
        <w:tblPrEx>
          <w:tblW w:w="14653" w:type="dxa"/>
          <w:tblLook w:val="04A0"/>
        </w:tblPrEx>
        <w:trPr>
          <w:trHeight w:val="3024"/>
        </w:trPr>
        <w:tc>
          <w:tcPr>
            <w:tcW w:w="1885" w:type="dxa"/>
            <w:tcBorders>
              <w:top w:val="nil"/>
              <w:left w:val="single" w:color="BFBFBF" w:sz="4" w:space="0"/>
              <w:bottom w:val="single" w:color="BFBFBF" w:sz="4" w:space="0"/>
              <w:right w:val="single" w:color="BFBFBF" w:sz="4" w:space="0"/>
            </w:tcBorders>
            <w:shd w:val="clear" w:color="000000" w:fill="EAEEF3"/>
            <w:tcMar>
              <w:top w:w="115" w:type="dxa"/>
              <w:left w:w="115" w:type="dxa"/>
              <w:right w:w="115" w:type="dxa"/>
            </w:tcMar>
            <w:hideMark/>
          </w:tcPr>
          <w:p w:rsidRPr="00F91DEA" w:rsidR="00F91DEA" w:rsidP="001B0D99" w14:paraId="4E624CC1" w14:textId="77777777">
            <w:pPr>
              <w:bidi w:val="false"/>
              <w:rPr>
                <w:rFonts w:cs="Calibri"/>
                <w:color w:val="000000"/>
                <w:szCs w:val="20"/>
              </w:rPr>
            </w:pPr>
            <w:r w:rsidRPr="00F91DEA">
              <w:rPr>
                <w:rFonts w:cs="Calibri"/>
                <w:szCs w:val="20"/>
                <w:lang w:val="Portuguese"/>
              </w:rPr>
              <w:t>PARTICIPAÇÃO DA EQUIPE</w:t>
            </w:r>
          </w:p>
        </w:tc>
        <w:tc>
          <w:tcPr>
            <w:tcW w:w="7740" w:type="dxa"/>
            <w:tcBorders>
              <w:top w:val="nil"/>
              <w:left w:val="nil"/>
              <w:bottom w:val="single" w:color="BFBFBF" w:sz="4" w:space="0"/>
              <w:right w:val="single" w:color="BFBFBF" w:sz="4" w:space="0"/>
            </w:tcBorders>
            <w:shd w:val="clear" w:color="000000" w:fill="F7F9FB"/>
            <w:tcMar>
              <w:top w:w="115" w:type="dxa"/>
              <w:left w:w="115" w:type="dxa"/>
              <w:right w:w="115" w:type="dxa"/>
            </w:tcMar>
            <w:hideMark/>
          </w:tcPr>
          <w:p w:rsidRPr="001B0D99" w:rsidR="001B0D99" w:rsidP="00012675" w14:paraId="2C276BB2"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Alcance a participação universal, independentemente da função ou local. </w:t>
            </w:r>
          </w:p>
          <w:p w:rsidRPr="001B0D99" w:rsidR="001B0D99" w:rsidP="00012675" w14:paraId="7F5B4E7F" w14:textId="77777777">
            <w:pPr>
              <w:pStyle w:val="ListParagraph"/>
              <w:numPr>
                <w:ilvl w:val="0"/>
                <w:numId w:val="2"/>
              </w:numPr>
              <w:bidi w:val="false"/>
              <w:spacing w:after="60"/>
              <w:ind w:left="284" w:hanging="270"/>
              <w:contextualSpacing w:val="0"/>
              <w:rPr>
                <w:rFonts w:cs="Calibri"/>
                <w:color w:val="000000"/>
                <w:szCs w:val="20"/>
              </w:rPr>
            </w:pPr>
            <w:r w:rsidRPr="001B0D99">
              <w:rPr>
                <w:rFonts w:cs="Calibri"/>
                <w:color w:val="000000"/>
                <w:szCs w:val="20"/>
                <w:lang w:val="Portuguese"/>
              </w:rPr>
              <w:t xml:space="preserve">Agende reuniões regulares obrigatórias de equipe: </w:t>
            </w:r>
          </w:p>
          <w:p w:rsidRPr="001B0D99" w:rsidR="001B0D99" w:rsidP="00012675" w14:paraId="6CDF5F3C"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Portuguese"/>
              </w:rPr>
              <w:t>Prepare-se sempre para uma reunião virtual como faria para uma reunião no escritório.</w:t>
            </w:r>
          </w:p>
          <w:p w:rsidRPr="001B0D99" w:rsidR="001B0D99" w:rsidP="00012675" w14:paraId="50557FCD"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Portuguese"/>
              </w:rPr>
              <w:t xml:space="preserve">Faça um aquecimento de reunião (quebra de gelo ou outro jogo). Tenha um líder designado. </w:t>
            </w:r>
          </w:p>
          <w:p w:rsidRPr="001B0D99" w:rsidR="001B0D99" w:rsidP="00012675" w14:paraId="7B14B0D0"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Portuguese"/>
              </w:rPr>
              <w:t>Defina resultados e prazos para cada reunião e use uma agenda.</w:t>
            </w:r>
          </w:p>
          <w:p w:rsidRPr="001B0D99" w:rsidR="001B0D99" w:rsidP="00012675" w14:paraId="63D0177E"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Portuguese"/>
              </w:rPr>
              <w:t xml:space="preserve">Amplie a conversa para incluir todos, mas reduza as opções de próxima etapa. </w:t>
            </w:r>
          </w:p>
          <w:p w:rsidRPr="001B0D99" w:rsidR="00F91DEA" w:rsidP="00012675" w14:paraId="41222766" w14:textId="77777777">
            <w:pPr>
              <w:pStyle w:val="ListParagraph"/>
              <w:numPr>
                <w:ilvl w:val="0"/>
                <w:numId w:val="3"/>
              </w:numPr>
              <w:bidi w:val="false"/>
              <w:spacing w:after="60"/>
              <w:ind w:left="554" w:hanging="270"/>
              <w:contextualSpacing w:val="0"/>
              <w:rPr>
                <w:rFonts w:cs="Calibri"/>
                <w:color w:val="000000"/>
                <w:szCs w:val="20"/>
              </w:rPr>
            </w:pPr>
            <w:r w:rsidRPr="001B0D99">
              <w:rPr>
                <w:rFonts w:cs="Calibri"/>
                <w:color w:val="000000"/>
                <w:szCs w:val="20"/>
                <w:lang w:val="Portuguese"/>
              </w:rPr>
              <w:t>Confirme o que você discutiu por escrito, após a reunião.</w:t>
            </w:r>
          </w:p>
        </w:tc>
        <w:tc>
          <w:tcPr>
            <w:tcW w:w="5028" w:type="dxa"/>
            <w:tcBorders>
              <w:top w:val="single" w:color="BFBFBF" w:sz="4" w:space="0"/>
              <w:left w:val="nil"/>
              <w:bottom w:val="single" w:color="BFBFBF" w:sz="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564E39BD" w14:textId="77777777">
            <w:pPr>
              <w:bidi w:val="false"/>
              <w:rPr>
                <w:rFonts w:cs="Calibri"/>
                <w:color w:val="000000"/>
                <w:sz w:val="18"/>
                <w:szCs w:val="18"/>
              </w:rPr>
            </w:pPr>
          </w:p>
        </w:tc>
      </w:tr>
      <w:tr w:rsidTr="004B4E12" w14:paraId="7D0281D3" w14:textId="77777777">
        <w:tblPrEx>
          <w:tblW w:w="14653" w:type="dxa"/>
          <w:tblLook w:val="04A0"/>
        </w:tblPrEx>
        <w:trPr>
          <w:trHeight w:val="1872"/>
        </w:trPr>
        <w:tc>
          <w:tcPr>
            <w:tcW w:w="1885" w:type="dxa"/>
            <w:tcBorders>
              <w:top w:val="single" w:color="BFBFBF" w:sz="4" w:space="0"/>
              <w:left w:val="single" w:color="BFBFBF" w:sz="4" w:space="0"/>
              <w:bottom w:val="single" w:color="BFBFBF" w:themeColor="background1" w:themeShade="BF" w:sz="24" w:space="0"/>
              <w:right w:val="single" w:color="BFBFBF" w:sz="4" w:space="0"/>
            </w:tcBorders>
            <w:shd w:val="clear" w:color="000000" w:fill="EAEEF3"/>
            <w:tcMar>
              <w:top w:w="115" w:type="dxa"/>
              <w:left w:w="115" w:type="dxa"/>
              <w:right w:w="115" w:type="dxa"/>
            </w:tcMar>
            <w:hideMark/>
          </w:tcPr>
          <w:p w:rsidRPr="00F91DEA" w:rsidR="00F91DEA" w:rsidP="001B0D99" w14:paraId="1FAF8217" w14:textId="77777777">
            <w:pPr>
              <w:bidi w:val="false"/>
              <w:rPr>
                <w:rFonts w:cs="Calibri"/>
                <w:color w:val="000000"/>
                <w:szCs w:val="20"/>
              </w:rPr>
            </w:pPr>
            <w:r w:rsidRPr="00F91DEA">
              <w:rPr>
                <w:rFonts w:cs="Calibri"/>
                <w:szCs w:val="20"/>
                <w:lang w:val="Portuguese"/>
              </w:rPr>
              <w:t>FERRAMENTAS</w:t>
            </w:r>
          </w:p>
        </w:tc>
        <w:tc>
          <w:tcPr>
            <w:tcW w:w="7740" w:type="dxa"/>
            <w:tcBorders>
              <w:top w:val="single" w:color="BFBFBF" w:sz="4" w:space="0"/>
              <w:left w:val="nil"/>
              <w:bottom w:val="single" w:color="BFBFBF" w:themeColor="background1" w:themeShade="BF" w:sz="24" w:space="0"/>
              <w:right w:val="single" w:color="BFBFBF" w:sz="4" w:space="0"/>
            </w:tcBorders>
            <w:shd w:val="clear" w:color="000000" w:fill="F7F9FB"/>
            <w:tcMar>
              <w:top w:w="115" w:type="dxa"/>
              <w:left w:w="115" w:type="dxa"/>
              <w:right w:w="115" w:type="dxa"/>
            </w:tcMar>
            <w:hideMark/>
          </w:tcPr>
          <w:p w:rsidRPr="001B0D99" w:rsidR="001B0D99" w:rsidP="00012675" w14:paraId="2B1E6288"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Portuguese"/>
              </w:rPr>
              <w:t xml:space="preserve">Pesquise antes de comprar ferramentas de colaboração. </w:t>
            </w:r>
          </w:p>
          <w:p w:rsidRPr="001B0D99" w:rsidR="001B0D99" w:rsidP="00012675" w14:paraId="47B6BB65"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Portuguese"/>
              </w:rPr>
              <w:t xml:space="preserve">Entenda quantas licenças (ou em que nível de assinatura) você precisará antes de comprar. </w:t>
            </w:r>
          </w:p>
          <w:p w:rsidRPr="001B0D99" w:rsidR="001B0D99" w:rsidP="00012675" w14:paraId="483FF02D"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Portuguese"/>
              </w:rPr>
              <w:t>Proporcione treinamento adequado.</w:t>
            </w:r>
          </w:p>
          <w:p w:rsidRPr="001B0D99" w:rsidR="00F91DEA" w:rsidP="00012675" w14:paraId="57EDCA0F" w14:textId="77777777">
            <w:pPr>
              <w:pStyle w:val="ListParagraph"/>
              <w:numPr>
                <w:ilvl w:val="0"/>
                <w:numId w:val="4"/>
              </w:numPr>
              <w:bidi w:val="false"/>
              <w:spacing w:after="60"/>
              <w:ind w:left="284" w:hanging="270"/>
              <w:contextualSpacing w:val="0"/>
              <w:rPr>
                <w:rFonts w:cs="Calibri"/>
                <w:color w:val="000000"/>
                <w:szCs w:val="20"/>
              </w:rPr>
            </w:pPr>
            <w:r w:rsidRPr="001B0D99">
              <w:rPr>
                <w:rFonts w:cs="Calibri"/>
                <w:color w:val="000000"/>
                <w:szCs w:val="20"/>
                <w:lang w:val="Portuguese"/>
              </w:rPr>
              <w:t>Não conte singularmente com ferramentas para apoiar a colaboração e tenha planos de backup para problemas de conectividade ou outros bugs.</w:t>
            </w:r>
          </w:p>
        </w:tc>
        <w:tc>
          <w:tcPr>
            <w:tcW w:w="5028" w:type="dxa"/>
            <w:tcBorders>
              <w:top w:val="single" w:color="BFBFBF" w:sz="4" w:space="0"/>
              <w:left w:val="nil"/>
              <w:bottom w:val="single" w:color="BFBFBF" w:themeColor="background1" w:themeShade="BF" w:sz="24" w:space="0"/>
              <w:right w:val="single" w:color="BFBFBF" w:themeColor="background1" w:themeShade="BF" w:sz="18" w:space="0"/>
            </w:tcBorders>
            <w:shd w:val="clear" w:color="auto" w:fill="auto"/>
            <w:tcMar>
              <w:top w:w="115" w:type="dxa"/>
              <w:left w:w="115" w:type="dxa"/>
              <w:right w:w="115" w:type="dxa"/>
            </w:tcMar>
            <w:hideMark/>
          </w:tcPr>
          <w:p w:rsidRPr="00F91DEA" w:rsidR="00F91DEA" w:rsidP="001B0D99" w14:paraId="586D87E0" w14:textId="77777777">
            <w:pPr>
              <w:bidi w:val="false"/>
              <w:rPr>
                <w:rFonts w:cs="Calibri"/>
                <w:color w:val="000000"/>
                <w:sz w:val="18"/>
                <w:szCs w:val="18"/>
              </w:rPr>
            </w:pPr>
            <w:r w:rsidRPr="00F91DEA">
              <w:rPr>
                <w:rFonts w:cs="Calibri"/>
                <w:color w:val="000000"/>
                <w:sz w:val="18"/>
                <w:szCs w:val="18"/>
                <w:lang w:val="Portuguese"/>
              </w:rPr>
              <w:t xml:space="preserve"> </w:t>
            </w:r>
          </w:p>
        </w:tc>
      </w:tr>
    </w:tbl>
    <w:p w:rsidR="00F91DEA" w:rsidP="006B4529" w14:paraId="643B799B" w14:textId="77777777">
      <w:pPr>
        <w:bidi w:val="false"/>
        <w:rPr>
          <w:szCs w:val="20"/>
        </w:rPr>
        <w:sectPr w:rsidSect="00E03F61">
          <w:footerReference w:type="even" r:id="rId10"/>
          <w:footerReference w:type="default" r:id="rId11"/>
          <w:pgSz w:w="15840" w:h="12240" w:orient="landscape"/>
          <w:pgMar w:top="504" w:right="576" w:bottom="720" w:left="576" w:header="720" w:footer="518" w:gutter="0"/>
          <w:cols w:space="720"/>
          <w:titlePg/>
          <w:docGrid w:linePitch="360"/>
        </w:sectPr>
      </w:pPr>
    </w:p>
    <w:p w:rsidRPr="00682B27" w:rsidR="002A74C4" w:rsidP="006B4529" w14:paraId="58B5162F" w14:textId="77777777">
      <w:pPr>
        <w:bidi w:val="false"/>
        <w:rPr>
          <w:szCs w:val="20"/>
        </w:rPr>
      </w:pPr>
    </w:p>
    <w:bookmarkEnd w:id="4"/>
    <w:bookmarkEnd w:id="5"/>
    <w:bookmarkEnd w:id="6"/>
    <w:bookmarkEnd w:id="7"/>
    <w:bookmarkEnd w:id="8"/>
    <w:p w:rsidRPr="00682B27" w:rsidR="001968EE" w:rsidP="001968EE" w14:paraId="3620F1FA" w14:textId="77777777">
      <w:pPr>
        <w:shd w:val="clear" w:color="auto" w:fill="FFFFFF"/>
        <w:bidi w:val="false"/>
        <w:rPr>
          <w:szCs w:val="21"/>
        </w:rPr>
      </w:pPr>
    </w:p>
    <w:p w:rsidRPr="003D706E" w:rsidR="00C81141" w:rsidP="001032AD" w14:paraId="28EFC2B0"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C443026"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10C9CA0" w14:textId="77777777">
            <w:pPr>
              <w:bidi w:val="false"/>
              <w:jc w:val="center"/>
              <w:rPr>
                <w:rFonts w:cs="Arial"/>
                <w:b/>
                <w:color w:val="000000" w:themeColor="text1"/>
                <w:sz w:val="20"/>
                <w:szCs w:val="20"/>
              </w:rPr>
            </w:pPr>
          </w:p>
          <w:p w:rsidRPr="003D706E" w:rsidR="00FF51C2" w:rsidP="001032AD" w14:paraId="2BE172E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0302CEE9" w14:textId="77777777">
            <w:pPr>
              <w:bidi w:val="false"/>
              <w:spacing w:line="276" w:lineRule="auto"/>
              <w:rPr>
                <w:rFonts w:cs="Arial"/>
                <w:color w:val="000000" w:themeColor="text1"/>
                <w:sz w:val="21"/>
                <w:szCs w:val="18"/>
              </w:rPr>
            </w:pPr>
          </w:p>
          <w:p w:rsidRPr="003D706E" w:rsidR="00FF51C2" w:rsidP="001032AD" w14:paraId="1DC867D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4EF7DD26" w14:textId="77777777">
      <w:pPr>
        <w:rPr>
          <w:b/>
          <w:color w:val="000000" w:themeColor="text1"/>
          <w:sz w:val="32"/>
          <w:szCs w:val="44"/>
        </w:rPr>
      </w:pPr>
    </w:p>
    <w:p w:rsidR="00473A9E" w:rsidP="001032AD" w14:paraId="15EBCF40" w14:textId="77777777">
      <w:pPr>
        <w:rPr>
          <w:b/>
          <w:color w:val="000000" w:themeColor="text1"/>
          <w:sz w:val="32"/>
          <w:szCs w:val="44"/>
        </w:rPr>
      </w:pPr>
    </w:p>
    <w:p w:rsidRPr="003D706E" w:rsidR="00473A9E" w:rsidP="001032AD" w14:paraId="127A98EE" w14:textId="77777777">
      <w:pPr>
        <w:rPr>
          <w:b/>
          <w:color w:val="000000" w:themeColor="text1"/>
          <w:sz w:val="32"/>
          <w:szCs w:val="44"/>
        </w:rPr>
      </w:pPr>
    </w:p>
    <w:sectPr w:rsidSect="00E03F61">
      <w:pgSz w:w="12240" w:h="15840"/>
      <w:pgMar w:top="576" w:right="504"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50293B67"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58D8B3F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4D965EE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1CC4895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56EC2"/>
    <w:multiLevelType w:val="hybridMultilevel"/>
    <w:tmpl w:val="B5BED0BA"/>
    <w:lvl w:ilvl="0">
      <w:start w:val="1"/>
      <w:numFmt w:val="bullet"/>
      <w:lvlText w:val="o"/>
      <w:lvlJc w:val="left"/>
      <w:pPr>
        <w:ind w:left="720" w:hanging="360"/>
      </w:pPr>
      <w:rPr>
        <w:rFonts w:hint="default" w:ascii="Courier New" w:hAnsi="Courier New" w:cs="Courier New"/>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3C194011"/>
    <w:multiLevelType w:val="hybridMultilevel"/>
    <w:tmpl w:val="211CA80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61A8311D"/>
    <w:multiLevelType w:val="hybridMultilevel"/>
    <w:tmpl w:val="D2CEC70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9B"/>
    <w:rsid w:val="000013C8"/>
    <w:rsid w:val="00012675"/>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B0D99"/>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B4E1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188"/>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D6BD4"/>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20DF"/>
    <w:rsid w:val="00A06691"/>
    <w:rsid w:val="00A11BF6"/>
    <w:rsid w:val="00A12C16"/>
    <w:rsid w:val="00A2037C"/>
    <w:rsid w:val="00A2277A"/>
    <w:rsid w:val="00A255C6"/>
    <w:rsid w:val="00A649D2"/>
    <w:rsid w:val="00A6738D"/>
    <w:rsid w:val="00A75E8D"/>
    <w:rsid w:val="00A94CC9"/>
    <w:rsid w:val="00A94E32"/>
    <w:rsid w:val="00A95536"/>
    <w:rsid w:val="00A95F8C"/>
    <w:rsid w:val="00AA5E3A"/>
    <w:rsid w:val="00AB1F2A"/>
    <w:rsid w:val="00AC6B85"/>
    <w:rsid w:val="00AD6706"/>
    <w:rsid w:val="00AE12B5"/>
    <w:rsid w:val="00AE1A89"/>
    <w:rsid w:val="00AE5CE6"/>
    <w:rsid w:val="00AE719B"/>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4691"/>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3F61"/>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2CD7"/>
    <w:rsid w:val="00EC3CDB"/>
    <w:rsid w:val="00EC4C48"/>
    <w:rsid w:val="00F05EE6"/>
    <w:rsid w:val="00F06218"/>
    <w:rsid w:val="00F11F7B"/>
    <w:rsid w:val="00F200A5"/>
    <w:rsid w:val="00F30326"/>
    <w:rsid w:val="00F36FE0"/>
    <w:rsid w:val="00F85E87"/>
    <w:rsid w:val="00F90516"/>
    <w:rsid w:val="00F91DEA"/>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16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27&amp;utm_language=PT&amp;utm_source=integrated+content&amp;utm_campaign=/remote-collaboration&amp;utm_medium=ic+guide+to+building+strong+remote+collaboration+57327+word+pt&amp;lpa=ic+guide+to+building+strong+remote+collaboration+57327+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IC-Guide-to-Building-Strong-Remote-Collaboration_WORD.dotx</Template>
  <TotalTime>0</TotalTime>
  <Pages>2</Pages>
  <Words>308</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2020-08-24T20:23:00Z</dcterms:created>
  <dcterms:modified xsi:type="dcterms:W3CDTF">2020-08-24T20:23:00Z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