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F0B5" w14:textId="461035BA" w:rsidR="00B838C5" w:rsidRDefault="00796115">
      <w:pPr>
        <w:rPr>
          <w:rFonts w:ascii="Century Gothic" w:hAnsi="Century Gothic"/>
          <w:b/>
          <w:bCs/>
          <w:color w:val="595959" w:themeColor="text1" w:themeTint="A6"/>
          <w:sz w:val="44"/>
          <w:szCs w:val="44"/>
        </w:rPr>
      </w:pPr>
      <w:r>
        <w:rPr>
          <w:noProof/>
        </w:rPr>
        <w:drawing>
          <wp:anchor distT="0" distB="0" distL="114300" distR="114300" simplePos="0" relativeHeight="251670016" behindDoc="0" locked="0" layoutInCell="1" allowOverlap="1" wp14:anchorId="20332CFE" wp14:editId="10184DEA">
            <wp:simplePos x="0" y="0"/>
            <wp:positionH relativeFrom="column">
              <wp:posOffset>5879990</wp:posOffset>
            </wp:positionH>
            <wp:positionV relativeFrom="paragraph">
              <wp:posOffset>-115252</wp:posOffset>
            </wp:positionV>
            <wp:extent cx="3064510" cy="609515"/>
            <wp:effectExtent l="0" t="0" r="2540" b="635"/>
            <wp:wrapNone/>
            <wp:docPr id="120685838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5"/>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64510" cy="609515"/>
                    </a:xfrm>
                    <a:prstGeom prst="rect">
                      <a:avLst/>
                    </a:prstGeom>
                  </pic:spPr>
                </pic:pic>
              </a:graphicData>
            </a:graphic>
          </wp:anchor>
        </w:drawing>
      </w:r>
      <w:r w:rsidR="00F462A7">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1FF1A4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 xml:space="preserve">Exemplo de modelo básico de </w:t>
      </w:r>
      <w:r w:rsidR="00890011">
        <w:rPr>
          <w:rFonts w:ascii="Century Gothic" w:hAnsi="Century Gothic"/>
          <w:b/>
          <w:bCs/>
          <w:color w:val="595959" w:themeColor="text1" w:themeTint="A6"/>
          <w:sz w:val="44"/>
          <w:szCs w:val="44"/>
        </w:rPr>
        <w:br/>
      </w:r>
      <w:r>
        <w:rPr>
          <w:rFonts w:ascii="Century Gothic" w:hAnsi="Century Gothic"/>
          <w:b/>
          <w:color w:val="595959" w:themeColor="text1" w:themeTint="A6"/>
          <w:sz w:val="44"/>
        </w:rPr>
        <w:t>plano estratégico</w:t>
      </w:r>
    </w:p>
    <w:p w14:paraId="069A9DF4" w14:textId="77777777" w:rsidR="00890011" w:rsidRDefault="00890011">
      <w:pPr>
        <w:rPr>
          <w:rFonts w:ascii="Century Gothic" w:hAnsi="Century Gothic"/>
          <w:b/>
          <w:bCs/>
          <w:color w:val="595959" w:themeColor="text1" w:themeTint="A6"/>
          <w:sz w:val="44"/>
          <w:szCs w:val="44"/>
        </w:rPr>
      </w:pPr>
    </w:p>
    <w:p w14:paraId="29848394" w14:textId="00ADC7A3" w:rsidR="00856B1D" w:rsidRDefault="00FB5F87">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6DA5AB72">
                <wp:simplePos x="0" y="0"/>
                <wp:positionH relativeFrom="column">
                  <wp:posOffset>20472</wp:posOffset>
                </wp:positionH>
                <wp:positionV relativeFrom="paragraph">
                  <wp:posOffset>195533</wp:posOffset>
                </wp:positionV>
                <wp:extent cx="4073856"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4073856" cy="3086100"/>
                        </a:xfrm>
                        <a:prstGeom prst="rect">
                          <a:avLst/>
                        </a:prstGeom>
                        <a:noFill/>
                        <a:ln w="6350">
                          <a:noFill/>
                        </a:ln>
                      </wps:spPr>
                      <wps:txbx>
                        <w:txbxContent>
                          <w:p w14:paraId="6498E77A" w14:textId="15B7CF30" w:rsidR="00960644" w:rsidRPr="000E1542" w:rsidRDefault="00FB5F87">
                            <w:pPr>
                              <w:rPr>
                                <w:rFonts w:ascii="Century Gothic" w:hAnsi="Century Gothic"/>
                                <w:b/>
                                <w:bCs/>
                                <w:color w:val="5B9BD5" w:themeColor="accent5"/>
                                <w:sz w:val="40"/>
                                <w:szCs w:val="40"/>
                              </w:rPr>
                            </w:pPr>
                            <w:r w:rsidRPr="000E1542">
                              <w:rPr>
                                <w:rFonts w:ascii="Century Gothic" w:hAnsi="Century Gothic"/>
                                <w:color w:val="5B9BD5" w:themeColor="accent5"/>
                                <w:sz w:val="40"/>
                                <w:szCs w:val="20"/>
                              </w:rPr>
                              <w:t>Este plano estratégico da Positive Charge fornece um roteiro para concretizar a visão da empresa, que é liderar o setor de carregamento de veículos elétricos por meio de inovação, expansão estratégica e foco nas necessidades dos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6pt;margin-top:15.4pt;width:320.8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f3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" filled="f" stroked="f" strokeweight=".5pt">
                <v:textbox>
                  <w:txbxContent>
                    <w:p w14:paraId="6498E77A" w14:textId="15B7CF30" w:rsidR="00960644" w:rsidRPr="000E1542" w:rsidRDefault="00FB5F87">
                      <w:pPr>
                        <w:rPr>
                          <w:rFonts w:ascii="Century Gothic" w:hAnsi="Century Gothic"/>
                          <w:b/>
                          <w:bCs/>
                          <w:color w:val="5B9BD5" w:themeColor="accent5"/>
                          <w:sz w:val="40"/>
                          <w:szCs w:val="40"/>
                        </w:rPr>
                      </w:pPr>
                      <w:r w:rsidRPr="000E1542">
                        <w:rPr>
                          <w:rFonts w:ascii="Century Gothic" w:hAnsi="Century Gothic"/>
                          <w:color w:val="5B9BD5" w:themeColor="accent5"/>
                          <w:sz w:val="40"/>
                          <w:szCs w:val="20"/>
                        </w:rPr>
                        <w:t>Este plano estratégico da Positive Charge fornece um roteiro para concretizar a visão da empresa, que é liderar o setor de carregamento de veículos elétricos por meio de inovação, expansão estratégica e foco nas necessidades dos clientes.</w:t>
                      </w:r>
                    </w:p>
                  </w:txbxContent>
                </v:textbox>
              </v:shape>
            </w:pict>
          </mc:Fallback>
        </mc:AlternateContent>
      </w: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NOME DA EMPRESA</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PLANO ESTRATÉGICO DE AUTORIA DE</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DATA</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DD/MM/AA</w:t>
            </w: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0E1542" w:rsidRDefault="007A4076"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lastRenderedPageBreak/>
              <w:t>RESUMO EXECUTIVO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67120FE4" w:rsidR="007D257E" w:rsidRPr="00D1464D" w:rsidRDefault="00036E51" w:rsidP="00B838C5">
            <w:pPr>
              <w:spacing w:after="0" w:line="240" w:lineRule="auto"/>
              <w:rPr>
                <w:rFonts w:ascii="Century Gothic" w:hAnsi="Century Gothic"/>
                <w:sz w:val="20"/>
                <w:szCs w:val="20"/>
              </w:rPr>
            </w:pPr>
            <w:r>
              <w:rPr>
                <w:rFonts w:ascii="Century Gothic" w:hAnsi="Century Gothic"/>
                <w:sz w:val="20"/>
              </w:rPr>
              <w:t>A Positive Charge pretende se tornar líder no setor fornecendo soluções inovadoras, confiáveis e acessíveis de carregamento de veículos elétricos aos proprietários e empresas desse tipo de veículo. Nosso plano estratégico descreve as etapas para expandir nossa rede, aprimorar nossa tecnologia e aumentar nossa presença no mercado nos próximos cinco anos.</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0E1542" w:rsidRDefault="007A4076"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DECLARAÇÃO DA VISÃO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Pr>
                <w:rFonts w:ascii="Century Gothic" w:hAnsi="Century Gothic"/>
                <w:sz w:val="20"/>
              </w:rPr>
              <w:t>Revolucionar a experiência com soluções de carregamento de veículos elétricos, tornando-as tão comuns e fáceis de usar quanto um posto de combustível tradicional, acelerando a transição global para o transporte sustentável.</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0E1542" w:rsidRDefault="007A4076"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DECLARAÇÃO DA MISSÃO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Pr>
                <w:rFonts w:ascii="Century Gothic" w:hAnsi="Century Gothic"/>
                <w:sz w:val="20"/>
              </w:rPr>
              <w:t>A missão da Positive Charge é capacitar os proprietários de veículos elétricos com soluções de carregamento rápidas, eficientes e amplamente distribuídas, apoiando o crescimento da mobilidade elétrica por meio de inovação, serviços centrados no cliente e parcerias estratégicas.</w:t>
            </w:r>
          </w:p>
        </w:tc>
      </w:tr>
      <w:tr w:rsidR="00B838C5" w:rsidRPr="007D257E" w14:paraId="35C53379" w14:textId="77777777" w:rsidTr="00D22386">
        <w:trPr>
          <w:gridAfter w:val="4"/>
          <w:wAfter w:w="4640" w:type="dxa"/>
          <w:trHeight w:val="1817"/>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0E1542" w:rsidRDefault="007A4076"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ANÁLISE SWOT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Pontos fortes: tecnologia avançada, fortes parcerias com fabricantes de veículos elétricos e a localização estratégica das estações de carregamento.</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Pontos fracos: altos custos iniciais de infraestrutura e concorrência de redes de abastecimento e carregamento estabelecidas.</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Oportunidades: a crescente demanda por veículos elétricos, incentivos governamentais para energia renovável e o potencial para expansão internacional.</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Ameaças: avanços tecnológicos dos concorrentes e mudanças nos ambientes regulatórios.</w:t>
            </w:r>
          </w:p>
        </w:tc>
      </w:tr>
      <w:tr w:rsidR="00F840C3" w:rsidRPr="007D257E" w14:paraId="60FD341C" w14:textId="77777777" w:rsidTr="00D22386">
        <w:trPr>
          <w:gridAfter w:val="4"/>
          <w:wAfter w:w="4640" w:type="dxa"/>
          <w:trHeight w:val="108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0E1542" w:rsidRDefault="007A4076"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METAS DE NEGÓCIOS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Curto prazo (1 a 2 anos): aumentar em 50% o número de estações de carregamento e garantir duas novas parcerias estratégicas.</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Longo prazo (3 a 5 anos): alcançar uma participação de mercado de 25% no setor de carregamento de veículos elétricos e expandir as operações para três novos países.</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0E1542" w:rsidRDefault="00694E25"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PLANO DE MARKETING</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Pr>
                <w:rFonts w:ascii="Century Gothic" w:hAnsi="Century Gothic"/>
                <w:sz w:val="20"/>
              </w:rPr>
              <w:t>Implementar uma estratégia de marketing multicanal que se concentre em marketing digital, parcerias com fabricantes de veículos elétricos e participação em exposições de energia sustentável que aumentem a conscientização da marca e o engajamento do cliente.</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0E1542" w:rsidRDefault="00694E25"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PLANO DE OPERAÇÕES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Pr>
                <w:rFonts w:ascii="Century Gothic" w:hAnsi="Century Gothic"/>
                <w:sz w:val="20"/>
              </w:rPr>
              <w:t>Ampliar o desenvolvimento da infraestrutura investindo em tecnologias de última geração e otimizando a logística para garantir a implantação e manutenção eficientes das estações de carregamento.</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0E1542" w:rsidRDefault="00694E25"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PROJEÇÕES FINANCEIRAS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Ano 1: receita de R$ 5 milhões com uma perda líquida de R$ 1 milhão devido aos investimentos iniciais.</w:t>
            </w:r>
          </w:p>
          <w:p w14:paraId="618B5F63"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Ano 2: receita de R$ 10 milhões com um lucro líquido de R$ 1 milhão.</w:t>
            </w:r>
          </w:p>
          <w:p w14:paraId="6BACCB43" w14:textId="3AD73A26" w:rsidR="00B838C5" w:rsidRPr="007E2D98" w:rsidRDefault="00D1020F" w:rsidP="00D1020F">
            <w:pPr>
              <w:spacing w:after="0" w:line="240" w:lineRule="auto"/>
              <w:rPr>
                <w:rFonts w:ascii="Century Gothic" w:hAnsi="Century Gothic"/>
                <w:sz w:val="20"/>
                <w:szCs w:val="20"/>
              </w:rPr>
            </w:pPr>
            <w:r>
              <w:rPr>
                <w:rFonts w:ascii="Century Gothic" w:hAnsi="Century Gothic"/>
                <w:sz w:val="20"/>
              </w:rPr>
              <w:t>Ano 3 a 5: crescimento da receita ano a ano de 30%, alcançando uma margem de lucro líquido de 15%.</w:t>
            </w:r>
          </w:p>
        </w:tc>
      </w:tr>
      <w:tr w:rsidR="00B838C5" w:rsidRPr="007D257E" w14:paraId="63E12318"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0E1542" w:rsidRDefault="00694E25" w:rsidP="007A4076">
            <w:pPr>
              <w:spacing w:after="0" w:line="240" w:lineRule="auto"/>
              <w:rPr>
                <w:rFonts w:ascii="Century Gothic" w:eastAsia="Times New Roman" w:hAnsi="Century Gothic" w:cs="Calibri"/>
                <w:color w:val="595959" w:themeColor="text1" w:themeTint="A6"/>
                <w:kern w:val="0"/>
                <w:sz w:val="26"/>
                <w:szCs w:val="26"/>
                <w14:ligatures w14:val="none"/>
              </w:rPr>
            </w:pPr>
            <w:r w:rsidRPr="000E1542">
              <w:rPr>
                <w:rFonts w:ascii="Century Gothic" w:hAnsi="Century Gothic"/>
                <w:color w:val="595959" w:themeColor="text1" w:themeTint="A6"/>
                <w:kern w:val="0"/>
                <w:sz w:val="26"/>
                <w:szCs w:val="26"/>
              </w:rPr>
              <w:t>EQUIPE</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0E1542" w:rsidRDefault="001F6345" w:rsidP="000E1542">
            <w:pPr>
              <w:spacing w:after="0" w:line="240" w:lineRule="auto"/>
              <w:ind w:right="-133"/>
              <w:rPr>
                <w:rFonts w:ascii="Century Gothic" w:hAnsi="Century Gothic"/>
                <w:spacing w:val="-2"/>
                <w:sz w:val="20"/>
                <w:szCs w:val="20"/>
              </w:rPr>
            </w:pPr>
            <w:r w:rsidRPr="000E1542">
              <w:rPr>
                <w:rFonts w:ascii="Century Gothic" w:hAnsi="Century Gothic"/>
                <w:spacing w:val="-2"/>
                <w:sz w:val="20"/>
              </w:rPr>
              <w:t>Diretor executivo: especialista em energia renovável com 20 anos de experiência.</w:t>
            </w:r>
          </w:p>
          <w:p w14:paraId="366C1B64" w14:textId="78344776" w:rsidR="001F6345" w:rsidRPr="000E1542" w:rsidRDefault="001F6345" w:rsidP="000E1542">
            <w:pPr>
              <w:spacing w:after="0" w:line="240" w:lineRule="auto"/>
              <w:ind w:right="-133"/>
              <w:rPr>
                <w:rFonts w:ascii="Century Gothic" w:hAnsi="Century Gothic"/>
                <w:spacing w:val="-2"/>
                <w:sz w:val="20"/>
                <w:szCs w:val="20"/>
              </w:rPr>
            </w:pPr>
            <w:r w:rsidRPr="000E1542">
              <w:rPr>
                <w:rFonts w:ascii="Century Gothic" w:hAnsi="Century Gothic"/>
                <w:spacing w:val="-2"/>
                <w:sz w:val="20"/>
              </w:rPr>
              <w:t>Diretor de tecnologia: especialista em tecnologia de veículos elétricos e desenvolvimento de infraestrutura.</w:t>
            </w:r>
          </w:p>
          <w:p w14:paraId="6C639D4C" w14:textId="6EFD9522" w:rsidR="001F6345" w:rsidRPr="000E1542" w:rsidRDefault="001F6345" w:rsidP="000E1542">
            <w:pPr>
              <w:spacing w:after="0" w:line="240" w:lineRule="auto"/>
              <w:ind w:right="-133"/>
              <w:rPr>
                <w:rFonts w:ascii="Century Gothic" w:hAnsi="Century Gothic"/>
                <w:spacing w:val="-2"/>
                <w:sz w:val="20"/>
                <w:szCs w:val="20"/>
              </w:rPr>
            </w:pPr>
            <w:r w:rsidRPr="000E1542">
              <w:rPr>
                <w:rFonts w:ascii="Century Gothic" w:hAnsi="Century Gothic"/>
                <w:spacing w:val="-2"/>
                <w:sz w:val="20"/>
              </w:rPr>
              <w:t>Diretor financeiro: especialista em finanças e investimento com foco em tecnologias sustentáveis.</w:t>
            </w:r>
          </w:p>
          <w:p w14:paraId="4392700B" w14:textId="0528725A" w:rsidR="00B838C5" w:rsidRPr="007E2D98" w:rsidRDefault="001F6345" w:rsidP="000E1542">
            <w:pPr>
              <w:spacing w:after="0" w:line="240" w:lineRule="auto"/>
              <w:ind w:right="-133"/>
              <w:rPr>
                <w:rFonts w:ascii="Century Gothic" w:hAnsi="Century Gothic"/>
                <w:sz w:val="20"/>
                <w:szCs w:val="20"/>
              </w:rPr>
            </w:pPr>
            <w:r w:rsidRPr="000E1542">
              <w:rPr>
                <w:rFonts w:ascii="Century Gothic" w:hAnsi="Century Gothic"/>
                <w:spacing w:val="-2"/>
                <w:sz w:val="20"/>
              </w:rPr>
              <w:t>Diretor de marketing: líder qualificado em marketing digital e construção de marca no setor de tecnologia.</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Pr>
                <w:rFonts w:ascii="Century 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AVISO DE ISENÇÃO DE RESPONSABILIDADE</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50CAB"/>
    <w:rsid w:val="0006376B"/>
    <w:rsid w:val="000D0FD7"/>
    <w:rsid w:val="000E1542"/>
    <w:rsid w:val="000F173D"/>
    <w:rsid w:val="0012137D"/>
    <w:rsid w:val="00127B68"/>
    <w:rsid w:val="00192157"/>
    <w:rsid w:val="001A1328"/>
    <w:rsid w:val="001F59E2"/>
    <w:rsid w:val="001F6345"/>
    <w:rsid w:val="00214A64"/>
    <w:rsid w:val="0022352A"/>
    <w:rsid w:val="00280F66"/>
    <w:rsid w:val="002A5A3C"/>
    <w:rsid w:val="002D3824"/>
    <w:rsid w:val="00333D63"/>
    <w:rsid w:val="003A4A32"/>
    <w:rsid w:val="003A776D"/>
    <w:rsid w:val="003E1829"/>
    <w:rsid w:val="00423B67"/>
    <w:rsid w:val="004C2B2F"/>
    <w:rsid w:val="005233D9"/>
    <w:rsid w:val="0053241E"/>
    <w:rsid w:val="005C758F"/>
    <w:rsid w:val="005F1960"/>
    <w:rsid w:val="00670F01"/>
    <w:rsid w:val="00680F0E"/>
    <w:rsid w:val="006841C6"/>
    <w:rsid w:val="00694E25"/>
    <w:rsid w:val="006A2EEC"/>
    <w:rsid w:val="006D4C32"/>
    <w:rsid w:val="006E160E"/>
    <w:rsid w:val="007057FB"/>
    <w:rsid w:val="00780711"/>
    <w:rsid w:val="00796115"/>
    <w:rsid w:val="007A4076"/>
    <w:rsid w:val="007D257E"/>
    <w:rsid w:val="007F7BB8"/>
    <w:rsid w:val="008068CF"/>
    <w:rsid w:val="00856B1D"/>
    <w:rsid w:val="00874FC2"/>
    <w:rsid w:val="00890011"/>
    <w:rsid w:val="00897D64"/>
    <w:rsid w:val="008A6AA0"/>
    <w:rsid w:val="00902D43"/>
    <w:rsid w:val="00960644"/>
    <w:rsid w:val="009A4B55"/>
    <w:rsid w:val="009C2AF2"/>
    <w:rsid w:val="009C3683"/>
    <w:rsid w:val="00AB29C2"/>
    <w:rsid w:val="00B20388"/>
    <w:rsid w:val="00B5700F"/>
    <w:rsid w:val="00B6775F"/>
    <w:rsid w:val="00B838C5"/>
    <w:rsid w:val="00B969E2"/>
    <w:rsid w:val="00BC1FE7"/>
    <w:rsid w:val="00BE49A9"/>
    <w:rsid w:val="00CC01FA"/>
    <w:rsid w:val="00CD13E5"/>
    <w:rsid w:val="00D1020F"/>
    <w:rsid w:val="00D116C2"/>
    <w:rsid w:val="00D1464D"/>
    <w:rsid w:val="00D22386"/>
    <w:rsid w:val="00DA652A"/>
    <w:rsid w:val="00E56F58"/>
    <w:rsid w:val="00E82E2E"/>
    <w:rsid w:val="00E9555E"/>
    <w:rsid w:val="00EA6DAE"/>
    <w:rsid w:val="00EA7488"/>
    <w:rsid w:val="00EE52D1"/>
    <w:rsid w:val="00F065C8"/>
    <w:rsid w:val="00F1326C"/>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pt.smartsheet.com/try-it?trp=5750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Mira Li</cp:lastModifiedBy>
  <cp:revision>7</cp:revision>
  <dcterms:created xsi:type="dcterms:W3CDTF">2024-05-28T11:19:00Z</dcterms:created>
  <dcterms:modified xsi:type="dcterms:W3CDTF">2024-09-25T02:05:00Z</dcterms:modified>
</cp:coreProperties>
</file>