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2101D2F0" w:rsidR="00424282" w:rsidRPr="00D4249E" w:rsidRDefault="00B0143B" w:rsidP="00D4249E">
      <w:pPr>
        <w:spacing w:after="0" w:line="240" w:lineRule="auto"/>
        <w:rPr>
          <w:b/>
          <w:color w:val="808080" w:themeColor="background1" w:themeShade="80"/>
          <w:sz w:val="16"/>
          <w:szCs w:val="16"/>
        </w:rPr>
      </w:pPr>
      <w:r>
        <w:rPr>
          <w:noProof/>
          <w:color w:val="595959" w:themeColor="text1" w:themeTint="A6"/>
          <w:sz w:val="72"/>
          <w:szCs w:val="72"/>
        </w:rPr>
        <w:drawing>
          <wp:anchor distT="0" distB="0" distL="114300" distR="114300" simplePos="0" relativeHeight="251656704" behindDoc="1" locked="0" layoutInCell="1" allowOverlap="1" wp14:anchorId="75DF61F6" wp14:editId="25B5ED5D">
            <wp:simplePos x="0" y="0"/>
            <wp:positionH relativeFrom="column">
              <wp:posOffset>-3368458</wp:posOffset>
            </wp:positionH>
            <wp:positionV relativeFrom="paragraph">
              <wp:posOffset>-569873</wp:posOffset>
            </wp:positionV>
            <wp:extent cx="12745579" cy="8498265"/>
            <wp:effectExtent l="8890" t="0" r="8255" b="8255"/>
            <wp:wrapNone/>
            <wp:docPr id="1864712650" name="Picture 1" descr="Abstract diamond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864712650" descr="Abstract diamond pattern background"/>
                    <pic:cNvPicPr/>
                  </pic:nvPicPr>
                  <pic:blipFill>
                    <a:blip r:embed="rId8" cstate="print">
                      <a:alphaModFix amt="39000"/>
                      <a:extLst>
                        <a:ext uri="{28A0092B-C50C-407E-A947-70E740481C1C}">
                          <a14:useLocalDpi xmlns:a14="http://schemas.microsoft.com/office/drawing/2010/main" val="0"/>
                        </a:ext>
                      </a:extLst>
                    </a:blip>
                    <a:stretch>
                      <a:fillRect/>
                    </a:stretch>
                  </pic:blipFill>
                  <pic:spPr>
                    <a:xfrm rot="5400000">
                      <a:off x="0" y="0"/>
                      <a:ext cx="12771170" cy="8515328"/>
                    </a:xfrm>
                    <a:prstGeom prst="rect">
                      <a:avLst/>
                    </a:prstGeom>
                  </pic:spPr>
                </pic:pic>
              </a:graphicData>
            </a:graphic>
            <wp14:sizeRelH relativeFrom="margin">
              <wp14:pctWidth>0</wp14:pctWidth>
            </wp14:sizeRelH>
            <wp14:sizeRelV relativeFrom="margin">
              <wp14:pctHeight>0</wp14:pctHeight>
            </wp14:sizeRelV>
          </wp:anchor>
        </w:drawing>
      </w:r>
    </w:p>
    <w:p w14:paraId="0F6EE457" w14:textId="63A43A13" w:rsidR="00F13016" w:rsidRDefault="00995ADC" w:rsidP="00F13016">
      <w:pPr>
        <w:spacing w:after="0" w:line="240" w:lineRule="auto"/>
        <w:rPr>
          <w:b/>
          <w:color w:val="595959" w:themeColor="text1" w:themeTint="A6"/>
          <w:sz w:val="44"/>
          <w:szCs w:val="44"/>
        </w:rPr>
      </w:pPr>
      <w:r>
        <w:rPr>
          <w:noProof/>
        </w:rPr>
        <w:drawing>
          <wp:anchor distT="0" distB="0" distL="114300" distR="114300" simplePos="0" relativeHeight="251658240" behindDoc="0" locked="0" layoutInCell="1" allowOverlap="1" wp14:anchorId="34FA0777" wp14:editId="79F38697">
            <wp:simplePos x="0" y="0"/>
            <wp:positionH relativeFrom="column">
              <wp:posOffset>4634363</wp:posOffset>
            </wp:positionH>
            <wp:positionV relativeFrom="paragraph">
              <wp:posOffset>75565</wp:posOffset>
            </wp:positionV>
            <wp:extent cx="2160000" cy="429517"/>
            <wp:effectExtent l="0" t="0" r="0" b="8890"/>
            <wp:wrapNone/>
            <wp:docPr id="634224419"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429517"/>
                    </a:xfrm>
                    <a:prstGeom prst="rect">
                      <a:avLst/>
                    </a:prstGeom>
                  </pic:spPr>
                </pic:pic>
              </a:graphicData>
            </a:graphic>
            <wp14:sizeRelH relativeFrom="margin">
              <wp14:pctWidth>0</wp14:pctWidth>
            </wp14:sizeRelH>
            <wp14:sizeRelV relativeFrom="margin">
              <wp14:pctHeight>0</wp14:pctHeight>
            </wp14:sizeRelV>
          </wp:anchor>
        </w:drawing>
      </w:r>
      <w:r w:rsidR="00F13016">
        <w:rPr>
          <w:b/>
          <w:color w:val="595959" w:themeColor="text1" w:themeTint="A6"/>
          <w:sz w:val="44"/>
        </w:rPr>
        <w:t xml:space="preserve">Exemplo de modelo de </w:t>
      </w:r>
      <w:r w:rsidR="00361323">
        <w:rPr>
          <w:b/>
          <w:color w:val="595959" w:themeColor="text1" w:themeTint="A6"/>
          <w:sz w:val="44"/>
        </w:rPr>
        <w:br/>
      </w:r>
      <w:r w:rsidR="00F13016">
        <w:rPr>
          <w:b/>
          <w:color w:val="595959" w:themeColor="text1" w:themeTint="A6"/>
          <w:sz w:val="44"/>
        </w:rPr>
        <w:t xml:space="preserve">proposta para evento em </w:t>
      </w:r>
      <w:r w:rsidR="00361323">
        <w:rPr>
          <w:b/>
          <w:color w:val="595959" w:themeColor="text1" w:themeTint="A6"/>
          <w:sz w:val="44"/>
        </w:rPr>
        <w:br/>
      </w:r>
      <w:r w:rsidR="00F13016">
        <w:rPr>
          <w:b/>
          <w:color w:val="595959" w:themeColor="text1" w:themeTint="A6"/>
          <w:sz w:val="44"/>
        </w:rPr>
        <w:t xml:space="preserve">Microsoft Word </w:t>
      </w:r>
    </w:p>
    <w:p w14:paraId="1B7DEAD1" w14:textId="54C8C0F9" w:rsidR="00C805C2" w:rsidRPr="006A0235" w:rsidRDefault="00C805C2" w:rsidP="00C805C2">
      <w:pPr>
        <w:rPr>
          <w:b/>
          <w:color w:val="808080" w:themeColor="background1" w:themeShade="80"/>
          <w:sz w:val="10"/>
          <w:szCs w:val="18"/>
        </w:rPr>
      </w:pPr>
    </w:p>
    <w:p w14:paraId="48A612A4" w14:textId="77777777" w:rsidR="00397DBE" w:rsidRDefault="00397DBE" w:rsidP="00C805C2">
      <w:pPr>
        <w:spacing w:line="240" w:lineRule="auto"/>
        <w:rPr>
          <w:sz w:val="20"/>
          <w:szCs w:val="20"/>
        </w:rPr>
      </w:pPr>
    </w:p>
    <w:p w14:paraId="6778FC23" w14:textId="01132A5B" w:rsidR="000F6E6F" w:rsidRDefault="000F6E6F" w:rsidP="00C805C2">
      <w:pPr>
        <w:spacing w:line="240" w:lineRule="auto"/>
        <w:rPr>
          <w:sz w:val="20"/>
          <w:szCs w:val="20"/>
        </w:rPr>
      </w:pPr>
    </w:p>
    <w:p w14:paraId="471FFBE0" w14:textId="1C8CB171" w:rsidR="00F54A95" w:rsidRDefault="00F54A95" w:rsidP="000F6E6F">
      <w:pPr>
        <w:pStyle w:val="NoSpacing"/>
        <w:spacing w:after="100" w:afterAutospacing="1"/>
        <w:rPr>
          <w:rFonts w:ascii="Century Gothic" w:hAnsi="Century Gothic"/>
          <w:color w:val="595959" w:themeColor="text1" w:themeTint="A6"/>
          <w:sz w:val="72"/>
          <w:szCs w:val="72"/>
        </w:rPr>
      </w:pPr>
    </w:p>
    <w:p w14:paraId="17D78650"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6C8AEF5F"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1B21B55E"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276DA754" w14:textId="1D8A79BB" w:rsidR="000F6E6F" w:rsidRPr="00FA7231" w:rsidRDefault="00CE7155" w:rsidP="000F6E6F">
      <w:pPr>
        <w:pStyle w:val="NoSpacing"/>
        <w:spacing w:after="100" w:afterAutospacing="1"/>
        <w:rPr>
          <w:rFonts w:ascii="Century Gothic" w:hAnsi="Century Gothic"/>
          <w:color w:val="595959" w:themeColor="text1" w:themeTint="A6"/>
          <w:sz w:val="72"/>
          <w:szCs w:val="72"/>
        </w:rPr>
      </w:pPr>
      <w:r>
        <w:rPr>
          <w:rFonts w:ascii="Century Gothic" w:hAnsi="Century Gothic"/>
          <w:color w:val="595959" w:themeColor="text1" w:themeTint="A6"/>
          <w:sz w:val="72"/>
        </w:rPr>
        <w:t>Global Culinary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0" w:name="_Hlk164104782"/>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Pr>
                <w:rFonts w:ascii="Century Gothic" w:hAnsi="Century Gothic"/>
                <w:color w:val="595959" w:themeColor="text1" w:themeTint="A6"/>
                <w:sz w:val="20"/>
              </w:rPr>
              <w:t>DATA</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C7C025A" w:rsidR="00F54A95" w:rsidRPr="000F6E6F" w:rsidRDefault="009A1AC2"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Mike Mussina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DD/MM/AA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Pr>
          <w:caps/>
          <w:color w:val="808080" w:themeColor="background1" w:themeShade="80"/>
          <w:sz w:val="44"/>
        </w:rPr>
        <w:lastRenderedPageBreak/>
        <w:t>índice</w:t>
      </w:r>
    </w:p>
    <w:p w14:paraId="737233A9" w14:textId="77777777" w:rsidR="00DF2A41" w:rsidRDefault="00DF2A41" w:rsidP="00DF2A41">
      <w:pPr>
        <w:pStyle w:val="TOC1"/>
        <w:rPr>
          <w:sz w:val="24"/>
          <w:szCs w:val="24"/>
        </w:rPr>
      </w:pPr>
    </w:p>
    <w:p w14:paraId="7FA8BB38" w14:textId="0FFEDB62" w:rsidR="00656CCF" w:rsidRDefault="00D4249E">
      <w:pPr>
        <w:pStyle w:val="TOC1"/>
        <w:rPr>
          <w:rFonts w:asciiTheme="minorHAnsi" w:hAnsiTheme="minorHAnsi" w:cstheme="minorBidi"/>
          <w:caps w:val="0"/>
          <w:noProof/>
          <w:kern w:val="2"/>
          <w:sz w:val="24"/>
          <w:szCs w:val="24"/>
          <w:lang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15041" w:history="1">
        <w:r w:rsidR="00656CCF" w:rsidRPr="006B20DC">
          <w:rPr>
            <w:rStyle w:val="Hyperlink"/>
            <w:noProof/>
          </w:rPr>
          <w:t>1.</w:t>
        </w:r>
        <w:r w:rsidR="00656CCF">
          <w:rPr>
            <w:rFonts w:asciiTheme="minorHAnsi" w:hAnsiTheme="minorHAnsi" w:cstheme="minorBidi"/>
            <w:caps w:val="0"/>
            <w:noProof/>
            <w:kern w:val="2"/>
            <w:sz w:val="24"/>
            <w:szCs w:val="24"/>
            <w:lang w:eastAsia="zh-CN"/>
            <w14:ligatures w14:val="standardContextual"/>
          </w:rPr>
          <w:tab/>
        </w:r>
        <w:r w:rsidR="00656CCF" w:rsidRPr="006B20DC">
          <w:rPr>
            <w:rStyle w:val="Hyperlink"/>
            <w:noProof/>
          </w:rPr>
          <w:t>RESUMO EXECUTIVO</w:t>
        </w:r>
        <w:r w:rsidR="00656CCF">
          <w:rPr>
            <w:noProof/>
            <w:webHidden/>
          </w:rPr>
          <w:tab/>
        </w:r>
        <w:r w:rsidR="00656CCF">
          <w:rPr>
            <w:noProof/>
            <w:webHidden/>
          </w:rPr>
          <w:fldChar w:fldCharType="begin"/>
        </w:r>
        <w:r w:rsidR="00656CCF">
          <w:rPr>
            <w:noProof/>
            <w:webHidden/>
          </w:rPr>
          <w:instrText xml:space="preserve"> PAGEREF _Toc184915041 \h </w:instrText>
        </w:r>
        <w:r w:rsidR="00656CCF">
          <w:rPr>
            <w:noProof/>
            <w:webHidden/>
          </w:rPr>
        </w:r>
        <w:r w:rsidR="00656CCF">
          <w:rPr>
            <w:noProof/>
            <w:webHidden/>
          </w:rPr>
          <w:fldChar w:fldCharType="separate"/>
        </w:r>
        <w:r w:rsidR="00656CCF">
          <w:rPr>
            <w:noProof/>
            <w:webHidden/>
          </w:rPr>
          <w:t>3</w:t>
        </w:r>
        <w:r w:rsidR="00656CCF">
          <w:rPr>
            <w:noProof/>
            <w:webHidden/>
          </w:rPr>
          <w:fldChar w:fldCharType="end"/>
        </w:r>
      </w:hyperlink>
    </w:p>
    <w:p w14:paraId="07235E57" w14:textId="79051F1A"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2" w:history="1">
        <w:r w:rsidRPr="006B20DC">
          <w:rPr>
            <w:rStyle w:val="Hyperlink"/>
            <w:noProof/>
          </w:rPr>
          <w:t>2.</w:t>
        </w:r>
        <w:r>
          <w:rPr>
            <w:rFonts w:asciiTheme="minorHAnsi" w:hAnsiTheme="minorHAnsi" w:cstheme="minorBidi"/>
            <w:caps w:val="0"/>
            <w:noProof/>
            <w:kern w:val="2"/>
            <w:sz w:val="24"/>
            <w:szCs w:val="24"/>
            <w:lang w:eastAsia="zh-CN"/>
            <w14:ligatures w14:val="standardContextual"/>
          </w:rPr>
          <w:tab/>
        </w:r>
        <w:r w:rsidRPr="006B20DC">
          <w:rPr>
            <w:rStyle w:val="Hyperlink"/>
            <w:noProof/>
          </w:rPr>
          <w:t>Visão geral do evento</w:t>
        </w:r>
        <w:r>
          <w:rPr>
            <w:noProof/>
            <w:webHidden/>
          </w:rPr>
          <w:tab/>
        </w:r>
        <w:r>
          <w:rPr>
            <w:noProof/>
            <w:webHidden/>
          </w:rPr>
          <w:fldChar w:fldCharType="begin"/>
        </w:r>
        <w:r>
          <w:rPr>
            <w:noProof/>
            <w:webHidden/>
          </w:rPr>
          <w:instrText xml:space="preserve"> PAGEREF _Toc184915042 \h </w:instrText>
        </w:r>
        <w:r>
          <w:rPr>
            <w:noProof/>
            <w:webHidden/>
          </w:rPr>
        </w:r>
        <w:r>
          <w:rPr>
            <w:noProof/>
            <w:webHidden/>
          </w:rPr>
          <w:fldChar w:fldCharType="separate"/>
        </w:r>
        <w:r>
          <w:rPr>
            <w:noProof/>
            <w:webHidden/>
          </w:rPr>
          <w:t>3</w:t>
        </w:r>
        <w:r>
          <w:rPr>
            <w:noProof/>
            <w:webHidden/>
          </w:rPr>
          <w:fldChar w:fldCharType="end"/>
        </w:r>
      </w:hyperlink>
    </w:p>
    <w:p w14:paraId="72E6E0FB" w14:textId="57C21E8F"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3" w:history="1">
        <w:r w:rsidRPr="006B20DC">
          <w:rPr>
            <w:rStyle w:val="Hyperlink"/>
            <w:noProof/>
          </w:rPr>
          <w:t>3.</w:t>
        </w:r>
        <w:r>
          <w:rPr>
            <w:rFonts w:asciiTheme="minorHAnsi" w:hAnsiTheme="minorHAnsi" w:cstheme="minorBidi"/>
            <w:caps w:val="0"/>
            <w:noProof/>
            <w:kern w:val="2"/>
            <w:sz w:val="24"/>
            <w:szCs w:val="24"/>
            <w:lang w:eastAsia="zh-CN"/>
            <w14:ligatures w14:val="standardContextual"/>
          </w:rPr>
          <w:tab/>
        </w:r>
        <w:r w:rsidRPr="006B20DC">
          <w:rPr>
            <w:rStyle w:val="Hyperlink"/>
            <w:noProof/>
          </w:rPr>
          <w:t>OBJETIVOS DO EVENTO</w:t>
        </w:r>
        <w:r>
          <w:rPr>
            <w:noProof/>
            <w:webHidden/>
          </w:rPr>
          <w:tab/>
        </w:r>
        <w:r>
          <w:rPr>
            <w:noProof/>
            <w:webHidden/>
          </w:rPr>
          <w:fldChar w:fldCharType="begin"/>
        </w:r>
        <w:r>
          <w:rPr>
            <w:noProof/>
            <w:webHidden/>
          </w:rPr>
          <w:instrText xml:space="preserve"> PAGEREF _Toc184915043 \h </w:instrText>
        </w:r>
        <w:r>
          <w:rPr>
            <w:noProof/>
            <w:webHidden/>
          </w:rPr>
        </w:r>
        <w:r>
          <w:rPr>
            <w:noProof/>
            <w:webHidden/>
          </w:rPr>
          <w:fldChar w:fldCharType="separate"/>
        </w:r>
        <w:r>
          <w:rPr>
            <w:noProof/>
            <w:webHidden/>
          </w:rPr>
          <w:t>3</w:t>
        </w:r>
        <w:r>
          <w:rPr>
            <w:noProof/>
            <w:webHidden/>
          </w:rPr>
          <w:fldChar w:fldCharType="end"/>
        </w:r>
      </w:hyperlink>
    </w:p>
    <w:p w14:paraId="1E51F1ED" w14:textId="5F3D8D82"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4" w:history="1">
        <w:r w:rsidRPr="006B20DC">
          <w:rPr>
            <w:rStyle w:val="Hyperlink"/>
            <w:noProof/>
          </w:rPr>
          <w:t>4.</w:t>
        </w:r>
        <w:r>
          <w:rPr>
            <w:rFonts w:asciiTheme="minorHAnsi" w:hAnsiTheme="minorHAnsi" w:cstheme="minorBidi"/>
            <w:caps w:val="0"/>
            <w:noProof/>
            <w:kern w:val="2"/>
            <w:sz w:val="24"/>
            <w:szCs w:val="24"/>
            <w:lang w:eastAsia="zh-CN"/>
            <w14:ligatures w14:val="standardContextual"/>
          </w:rPr>
          <w:tab/>
        </w:r>
        <w:r w:rsidRPr="006B20DC">
          <w:rPr>
            <w:rStyle w:val="Hyperlink"/>
            <w:noProof/>
          </w:rPr>
          <w:t>PÚBLICO-ALVO</w:t>
        </w:r>
        <w:r>
          <w:rPr>
            <w:noProof/>
            <w:webHidden/>
          </w:rPr>
          <w:tab/>
        </w:r>
        <w:r>
          <w:rPr>
            <w:noProof/>
            <w:webHidden/>
          </w:rPr>
          <w:fldChar w:fldCharType="begin"/>
        </w:r>
        <w:r>
          <w:rPr>
            <w:noProof/>
            <w:webHidden/>
          </w:rPr>
          <w:instrText xml:space="preserve"> PAGEREF _Toc184915044 \h </w:instrText>
        </w:r>
        <w:r>
          <w:rPr>
            <w:noProof/>
            <w:webHidden/>
          </w:rPr>
        </w:r>
        <w:r>
          <w:rPr>
            <w:noProof/>
            <w:webHidden/>
          </w:rPr>
          <w:fldChar w:fldCharType="separate"/>
        </w:r>
        <w:r>
          <w:rPr>
            <w:noProof/>
            <w:webHidden/>
          </w:rPr>
          <w:t>3</w:t>
        </w:r>
        <w:r>
          <w:rPr>
            <w:noProof/>
            <w:webHidden/>
          </w:rPr>
          <w:fldChar w:fldCharType="end"/>
        </w:r>
      </w:hyperlink>
    </w:p>
    <w:p w14:paraId="48BAC493" w14:textId="4F331F57"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5" w:history="1">
        <w:r w:rsidRPr="006B20DC">
          <w:rPr>
            <w:rStyle w:val="Hyperlink"/>
            <w:noProof/>
          </w:rPr>
          <w:t>5.</w:t>
        </w:r>
        <w:r>
          <w:rPr>
            <w:rFonts w:asciiTheme="minorHAnsi" w:hAnsiTheme="minorHAnsi" w:cstheme="minorBidi"/>
            <w:caps w:val="0"/>
            <w:noProof/>
            <w:kern w:val="2"/>
            <w:sz w:val="24"/>
            <w:szCs w:val="24"/>
            <w:lang w:eastAsia="zh-CN"/>
            <w14:ligatures w14:val="standardContextual"/>
          </w:rPr>
          <w:tab/>
        </w:r>
        <w:r w:rsidRPr="006B20DC">
          <w:rPr>
            <w:rStyle w:val="Hyperlink"/>
            <w:noProof/>
          </w:rPr>
          <w:t>detalhes do evento proposto</w:t>
        </w:r>
        <w:r>
          <w:rPr>
            <w:noProof/>
            <w:webHidden/>
          </w:rPr>
          <w:tab/>
        </w:r>
        <w:r>
          <w:rPr>
            <w:noProof/>
            <w:webHidden/>
          </w:rPr>
          <w:fldChar w:fldCharType="begin"/>
        </w:r>
        <w:r>
          <w:rPr>
            <w:noProof/>
            <w:webHidden/>
          </w:rPr>
          <w:instrText xml:space="preserve"> PAGEREF _Toc184915045 \h </w:instrText>
        </w:r>
        <w:r>
          <w:rPr>
            <w:noProof/>
            <w:webHidden/>
          </w:rPr>
        </w:r>
        <w:r>
          <w:rPr>
            <w:noProof/>
            <w:webHidden/>
          </w:rPr>
          <w:fldChar w:fldCharType="separate"/>
        </w:r>
        <w:r>
          <w:rPr>
            <w:noProof/>
            <w:webHidden/>
          </w:rPr>
          <w:t>4</w:t>
        </w:r>
        <w:r>
          <w:rPr>
            <w:noProof/>
            <w:webHidden/>
          </w:rPr>
          <w:fldChar w:fldCharType="end"/>
        </w:r>
      </w:hyperlink>
    </w:p>
    <w:p w14:paraId="40140D13" w14:textId="09C09C0A"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6" w:history="1">
        <w:r w:rsidRPr="006B20DC">
          <w:rPr>
            <w:rStyle w:val="Hyperlink"/>
            <w:noProof/>
          </w:rPr>
          <w:t>6.</w:t>
        </w:r>
        <w:r>
          <w:rPr>
            <w:rFonts w:asciiTheme="minorHAnsi" w:hAnsiTheme="minorHAnsi" w:cstheme="minorBidi"/>
            <w:caps w:val="0"/>
            <w:noProof/>
            <w:kern w:val="2"/>
            <w:sz w:val="24"/>
            <w:szCs w:val="24"/>
            <w:lang w:eastAsia="zh-CN"/>
            <w14:ligatures w14:val="standardContextual"/>
          </w:rPr>
          <w:tab/>
        </w:r>
        <w:r w:rsidRPr="006B20DC">
          <w:rPr>
            <w:rStyle w:val="Hyperlink"/>
            <w:noProof/>
          </w:rPr>
          <w:t>ESTRATÉGIA DE MARKETING E PROMOÇÃO</w:t>
        </w:r>
        <w:r>
          <w:rPr>
            <w:noProof/>
            <w:webHidden/>
          </w:rPr>
          <w:tab/>
        </w:r>
        <w:r>
          <w:rPr>
            <w:noProof/>
            <w:webHidden/>
          </w:rPr>
          <w:fldChar w:fldCharType="begin"/>
        </w:r>
        <w:r>
          <w:rPr>
            <w:noProof/>
            <w:webHidden/>
          </w:rPr>
          <w:instrText xml:space="preserve"> PAGEREF _Toc184915046 \h </w:instrText>
        </w:r>
        <w:r>
          <w:rPr>
            <w:noProof/>
            <w:webHidden/>
          </w:rPr>
        </w:r>
        <w:r>
          <w:rPr>
            <w:noProof/>
            <w:webHidden/>
          </w:rPr>
          <w:fldChar w:fldCharType="separate"/>
        </w:r>
        <w:r>
          <w:rPr>
            <w:noProof/>
            <w:webHidden/>
          </w:rPr>
          <w:t>4</w:t>
        </w:r>
        <w:r>
          <w:rPr>
            <w:noProof/>
            <w:webHidden/>
          </w:rPr>
          <w:fldChar w:fldCharType="end"/>
        </w:r>
      </w:hyperlink>
    </w:p>
    <w:p w14:paraId="5C466B4A" w14:textId="0DF6FBF9"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7" w:history="1">
        <w:r w:rsidRPr="006B20DC">
          <w:rPr>
            <w:rStyle w:val="Hyperlink"/>
            <w:noProof/>
          </w:rPr>
          <w:t>7.</w:t>
        </w:r>
        <w:r>
          <w:rPr>
            <w:rFonts w:asciiTheme="minorHAnsi" w:hAnsiTheme="minorHAnsi" w:cstheme="minorBidi"/>
            <w:caps w:val="0"/>
            <w:noProof/>
            <w:kern w:val="2"/>
            <w:sz w:val="24"/>
            <w:szCs w:val="24"/>
            <w:lang w:eastAsia="zh-CN"/>
            <w14:ligatures w14:val="standardContextual"/>
          </w:rPr>
          <w:tab/>
        </w:r>
        <w:r w:rsidRPr="006B20DC">
          <w:rPr>
            <w:rStyle w:val="Hyperlink"/>
            <w:noProof/>
          </w:rPr>
          <w:t>OPORTUNIDADES DE PATROCÍNIO</w:t>
        </w:r>
        <w:r>
          <w:rPr>
            <w:noProof/>
            <w:webHidden/>
          </w:rPr>
          <w:tab/>
        </w:r>
        <w:r>
          <w:rPr>
            <w:noProof/>
            <w:webHidden/>
          </w:rPr>
          <w:fldChar w:fldCharType="begin"/>
        </w:r>
        <w:r>
          <w:rPr>
            <w:noProof/>
            <w:webHidden/>
          </w:rPr>
          <w:instrText xml:space="preserve"> PAGEREF _Toc184915047 \h </w:instrText>
        </w:r>
        <w:r>
          <w:rPr>
            <w:noProof/>
            <w:webHidden/>
          </w:rPr>
        </w:r>
        <w:r>
          <w:rPr>
            <w:noProof/>
            <w:webHidden/>
          </w:rPr>
          <w:fldChar w:fldCharType="separate"/>
        </w:r>
        <w:r>
          <w:rPr>
            <w:noProof/>
            <w:webHidden/>
          </w:rPr>
          <w:t>4</w:t>
        </w:r>
        <w:r>
          <w:rPr>
            <w:noProof/>
            <w:webHidden/>
          </w:rPr>
          <w:fldChar w:fldCharType="end"/>
        </w:r>
      </w:hyperlink>
    </w:p>
    <w:p w14:paraId="148EEA79" w14:textId="663ACF05"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8" w:history="1">
        <w:r w:rsidRPr="006B20DC">
          <w:rPr>
            <w:rStyle w:val="Hyperlink"/>
            <w:noProof/>
          </w:rPr>
          <w:t>8.</w:t>
        </w:r>
        <w:r>
          <w:rPr>
            <w:rFonts w:asciiTheme="minorHAnsi" w:hAnsiTheme="minorHAnsi" w:cstheme="minorBidi"/>
            <w:caps w:val="0"/>
            <w:noProof/>
            <w:kern w:val="2"/>
            <w:sz w:val="24"/>
            <w:szCs w:val="24"/>
            <w:lang w:eastAsia="zh-CN"/>
            <w14:ligatures w14:val="standardContextual"/>
          </w:rPr>
          <w:tab/>
        </w:r>
        <w:r w:rsidRPr="006B20DC">
          <w:rPr>
            <w:rStyle w:val="Hyperlink"/>
            <w:noProof/>
          </w:rPr>
          <w:t>visão geral do orçamento</w:t>
        </w:r>
        <w:r>
          <w:rPr>
            <w:noProof/>
            <w:webHidden/>
          </w:rPr>
          <w:tab/>
        </w:r>
        <w:r>
          <w:rPr>
            <w:noProof/>
            <w:webHidden/>
          </w:rPr>
          <w:fldChar w:fldCharType="begin"/>
        </w:r>
        <w:r>
          <w:rPr>
            <w:noProof/>
            <w:webHidden/>
          </w:rPr>
          <w:instrText xml:space="preserve"> PAGEREF _Toc184915048 \h </w:instrText>
        </w:r>
        <w:r>
          <w:rPr>
            <w:noProof/>
            <w:webHidden/>
          </w:rPr>
        </w:r>
        <w:r>
          <w:rPr>
            <w:noProof/>
            <w:webHidden/>
          </w:rPr>
          <w:fldChar w:fldCharType="separate"/>
        </w:r>
        <w:r>
          <w:rPr>
            <w:noProof/>
            <w:webHidden/>
          </w:rPr>
          <w:t>5</w:t>
        </w:r>
        <w:r>
          <w:rPr>
            <w:noProof/>
            <w:webHidden/>
          </w:rPr>
          <w:fldChar w:fldCharType="end"/>
        </w:r>
      </w:hyperlink>
    </w:p>
    <w:p w14:paraId="49C5EFB6" w14:textId="3F6A3920"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49" w:history="1">
        <w:r w:rsidRPr="006B20DC">
          <w:rPr>
            <w:rStyle w:val="Hyperlink"/>
            <w:noProof/>
          </w:rPr>
          <w:t>9.</w:t>
        </w:r>
        <w:r>
          <w:rPr>
            <w:rFonts w:asciiTheme="minorHAnsi" w:hAnsiTheme="minorHAnsi" w:cstheme="minorBidi"/>
            <w:caps w:val="0"/>
            <w:noProof/>
            <w:kern w:val="2"/>
            <w:sz w:val="24"/>
            <w:szCs w:val="24"/>
            <w:lang w:eastAsia="zh-CN"/>
            <w14:ligatures w14:val="standardContextual"/>
          </w:rPr>
          <w:tab/>
        </w:r>
        <w:r w:rsidRPr="006B20DC">
          <w:rPr>
            <w:rStyle w:val="Hyperlink"/>
            <w:noProof/>
          </w:rPr>
          <w:t>logística e operações</w:t>
        </w:r>
        <w:r>
          <w:rPr>
            <w:noProof/>
            <w:webHidden/>
          </w:rPr>
          <w:tab/>
        </w:r>
        <w:r>
          <w:rPr>
            <w:noProof/>
            <w:webHidden/>
          </w:rPr>
          <w:fldChar w:fldCharType="begin"/>
        </w:r>
        <w:r>
          <w:rPr>
            <w:noProof/>
            <w:webHidden/>
          </w:rPr>
          <w:instrText xml:space="preserve"> PAGEREF _Toc184915049 \h </w:instrText>
        </w:r>
        <w:r>
          <w:rPr>
            <w:noProof/>
            <w:webHidden/>
          </w:rPr>
        </w:r>
        <w:r>
          <w:rPr>
            <w:noProof/>
            <w:webHidden/>
          </w:rPr>
          <w:fldChar w:fldCharType="separate"/>
        </w:r>
        <w:r>
          <w:rPr>
            <w:noProof/>
            <w:webHidden/>
          </w:rPr>
          <w:t>5</w:t>
        </w:r>
        <w:r>
          <w:rPr>
            <w:noProof/>
            <w:webHidden/>
          </w:rPr>
          <w:fldChar w:fldCharType="end"/>
        </w:r>
      </w:hyperlink>
    </w:p>
    <w:p w14:paraId="4989E518" w14:textId="18DF17FD"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50" w:history="1">
        <w:r w:rsidRPr="006B20DC">
          <w:rPr>
            <w:rStyle w:val="Hyperlink"/>
            <w:noProof/>
          </w:rPr>
          <w:t>10.</w:t>
        </w:r>
        <w:r>
          <w:rPr>
            <w:rFonts w:asciiTheme="minorHAnsi" w:hAnsiTheme="minorHAnsi" w:cstheme="minorBidi"/>
            <w:caps w:val="0"/>
            <w:noProof/>
            <w:kern w:val="2"/>
            <w:sz w:val="24"/>
            <w:szCs w:val="24"/>
            <w:lang w:eastAsia="zh-CN"/>
            <w14:ligatures w14:val="standardContextual"/>
          </w:rPr>
          <w:tab/>
        </w:r>
        <w:r w:rsidRPr="006B20DC">
          <w:rPr>
            <w:rStyle w:val="Hyperlink"/>
            <w:noProof/>
          </w:rPr>
          <w:t>GERENCIAMENTO DE RISCOS</w:t>
        </w:r>
        <w:r>
          <w:rPr>
            <w:noProof/>
            <w:webHidden/>
          </w:rPr>
          <w:tab/>
        </w:r>
        <w:r>
          <w:rPr>
            <w:noProof/>
            <w:webHidden/>
          </w:rPr>
          <w:fldChar w:fldCharType="begin"/>
        </w:r>
        <w:r>
          <w:rPr>
            <w:noProof/>
            <w:webHidden/>
          </w:rPr>
          <w:instrText xml:space="preserve"> PAGEREF _Toc184915050 \h </w:instrText>
        </w:r>
        <w:r>
          <w:rPr>
            <w:noProof/>
            <w:webHidden/>
          </w:rPr>
        </w:r>
        <w:r>
          <w:rPr>
            <w:noProof/>
            <w:webHidden/>
          </w:rPr>
          <w:fldChar w:fldCharType="separate"/>
        </w:r>
        <w:r>
          <w:rPr>
            <w:noProof/>
            <w:webHidden/>
          </w:rPr>
          <w:t>5</w:t>
        </w:r>
        <w:r>
          <w:rPr>
            <w:noProof/>
            <w:webHidden/>
          </w:rPr>
          <w:fldChar w:fldCharType="end"/>
        </w:r>
      </w:hyperlink>
    </w:p>
    <w:p w14:paraId="4A26AA9A" w14:textId="52AC0FED"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51" w:history="1">
        <w:r w:rsidRPr="006B20DC">
          <w:rPr>
            <w:rStyle w:val="Hyperlink"/>
            <w:noProof/>
          </w:rPr>
          <w:t>11.</w:t>
        </w:r>
        <w:r>
          <w:rPr>
            <w:rFonts w:asciiTheme="minorHAnsi" w:hAnsiTheme="minorHAnsi" w:cstheme="minorBidi"/>
            <w:caps w:val="0"/>
            <w:noProof/>
            <w:kern w:val="2"/>
            <w:sz w:val="24"/>
            <w:szCs w:val="24"/>
            <w:lang w:eastAsia="zh-CN"/>
            <w14:ligatures w14:val="standardContextual"/>
          </w:rPr>
          <w:tab/>
        </w:r>
        <w:r w:rsidRPr="006B20DC">
          <w:rPr>
            <w:rStyle w:val="Hyperlink"/>
            <w:noProof/>
          </w:rPr>
          <w:t>CONCLUSÕES</w:t>
        </w:r>
        <w:r>
          <w:rPr>
            <w:noProof/>
            <w:webHidden/>
          </w:rPr>
          <w:tab/>
        </w:r>
        <w:r>
          <w:rPr>
            <w:noProof/>
            <w:webHidden/>
          </w:rPr>
          <w:fldChar w:fldCharType="begin"/>
        </w:r>
        <w:r>
          <w:rPr>
            <w:noProof/>
            <w:webHidden/>
          </w:rPr>
          <w:instrText xml:space="preserve"> PAGEREF _Toc184915051 \h </w:instrText>
        </w:r>
        <w:r>
          <w:rPr>
            <w:noProof/>
            <w:webHidden/>
          </w:rPr>
        </w:r>
        <w:r>
          <w:rPr>
            <w:noProof/>
            <w:webHidden/>
          </w:rPr>
          <w:fldChar w:fldCharType="separate"/>
        </w:r>
        <w:r>
          <w:rPr>
            <w:noProof/>
            <w:webHidden/>
          </w:rPr>
          <w:t>5</w:t>
        </w:r>
        <w:r>
          <w:rPr>
            <w:noProof/>
            <w:webHidden/>
          </w:rPr>
          <w:fldChar w:fldCharType="end"/>
        </w:r>
      </w:hyperlink>
    </w:p>
    <w:p w14:paraId="486BAA77" w14:textId="11981BD8" w:rsidR="00656CCF" w:rsidRDefault="00656CCF">
      <w:pPr>
        <w:pStyle w:val="TOC1"/>
        <w:rPr>
          <w:rFonts w:asciiTheme="minorHAnsi" w:hAnsiTheme="minorHAnsi" w:cstheme="minorBidi"/>
          <w:caps w:val="0"/>
          <w:noProof/>
          <w:kern w:val="2"/>
          <w:sz w:val="24"/>
          <w:szCs w:val="24"/>
          <w:lang w:eastAsia="zh-CN"/>
          <w14:ligatures w14:val="standardContextual"/>
        </w:rPr>
      </w:pPr>
      <w:hyperlink w:anchor="_Toc184915052" w:history="1">
        <w:r w:rsidRPr="006B20DC">
          <w:rPr>
            <w:rStyle w:val="Hyperlink"/>
            <w:noProof/>
          </w:rPr>
          <w:t>12.</w:t>
        </w:r>
        <w:r>
          <w:rPr>
            <w:rFonts w:asciiTheme="minorHAnsi" w:hAnsiTheme="minorHAnsi" w:cstheme="minorBidi"/>
            <w:caps w:val="0"/>
            <w:noProof/>
            <w:kern w:val="2"/>
            <w:sz w:val="24"/>
            <w:szCs w:val="24"/>
            <w:lang w:eastAsia="zh-CN"/>
            <w14:ligatures w14:val="standardContextual"/>
          </w:rPr>
          <w:tab/>
        </w:r>
        <w:r w:rsidRPr="006B20DC">
          <w:rPr>
            <w:rStyle w:val="Hyperlink"/>
            <w:noProof/>
          </w:rPr>
          <w:t>ANEXO</w:t>
        </w:r>
        <w:r>
          <w:rPr>
            <w:noProof/>
            <w:webHidden/>
          </w:rPr>
          <w:tab/>
        </w:r>
        <w:r>
          <w:rPr>
            <w:noProof/>
            <w:webHidden/>
          </w:rPr>
          <w:fldChar w:fldCharType="begin"/>
        </w:r>
        <w:r>
          <w:rPr>
            <w:noProof/>
            <w:webHidden/>
          </w:rPr>
          <w:instrText xml:space="preserve"> PAGEREF _Toc184915052 \h </w:instrText>
        </w:r>
        <w:r>
          <w:rPr>
            <w:noProof/>
            <w:webHidden/>
          </w:rPr>
        </w:r>
        <w:r>
          <w:rPr>
            <w:noProof/>
            <w:webHidden/>
          </w:rPr>
          <w:fldChar w:fldCharType="separate"/>
        </w:r>
        <w:r>
          <w:rPr>
            <w:noProof/>
            <w:webHidden/>
          </w:rPr>
          <w:t>6</w:t>
        </w:r>
        <w:r>
          <w:rPr>
            <w:noProof/>
            <w:webHidden/>
          </w:rPr>
          <w:fldChar w:fldCharType="end"/>
        </w:r>
      </w:hyperlink>
    </w:p>
    <w:p w14:paraId="5C4F8C9A" w14:textId="65776CDF" w:rsidR="007F1D65" w:rsidRPr="005D0142" w:rsidRDefault="00D4249E" w:rsidP="000B7D8A">
      <w:pPr>
        <w:pStyle w:val="Heading2"/>
        <w:spacing w:after="0"/>
        <w:rPr>
          <w:sz w:val="20"/>
          <w:szCs w:val="20"/>
        </w:rPr>
        <w:sectPr w:rsidR="007F1D65" w:rsidRPr="005D0142" w:rsidSect="001E73C7">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77777777" w:rsidR="001B18BA" w:rsidRPr="009B3F85" w:rsidRDefault="009B3F85" w:rsidP="009B3F85">
      <w:pPr>
        <w:pStyle w:val="Heading1"/>
        <w:numPr>
          <w:ilvl w:val="0"/>
          <w:numId w:val="1"/>
        </w:numPr>
        <w:spacing w:line="240" w:lineRule="auto"/>
        <w:ind w:left="360"/>
        <w:rPr>
          <w:szCs w:val="20"/>
        </w:rPr>
      </w:pPr>
      <w:bookmarkStart w:id="1" w:name="_Toc184915041"/>
      <w:r>
        <w:lastRenderedPageBreak/>
        <w:t>RESUMO EXECUTIVO</w:t>
      </w:r>
      <w:bookmarkEnd w:id="1"/>
    </w:p>
    <w:tbl>
      <w:tblPr>
        <w:tblStyle w:val="TableGrid"/>
        <w:tblW w:w="0" w:type="auto"/>
        <w:tblInd w:w="-10" w:type="dxa"/>
        <w:tblLook w:val="04A0" w:firstRow="1" w:lastRow="0" w:firstColumn="1" w:lastColumn="0" w:noHBand="0" w:noVBand="1"/>
      </w:tblPr>
      <w:tblGrid>
        <w:gridCol w:w="10350"/>
      </w:tblGrid>
      <w:tr w:rsidR="001B18BA" w14:paraId="600D7EA0" w14:textId="77777777" w:rsidTr="00F66FE7">
        <w:trPr>
          <w:trHeight w:val="26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6A9C501" w14:textId="77777777" w:rsidR="001B18BA" w:rsidRDefault="001B18BA" w:rsidP="00104AF3">
            <w:pPr>
              <w:rPr>
                <w:iCs/>
                <w:color w:val="000000" w:themeColor="text1"/>
                <w:sz w:val="20"/>
                <w:szCs w:val="20"/>
              </w:rPr>
            </w:pPr>
          </w:p>
          <w:p w14:paraId="69F7BCA9" w14:textId="2274F1AE" w:rsidR="001B18BA" w:rsidRPr="002E2597" w:rsidRDefault="00E03C95" w:rsidP="00104AF3">
            <w:pPr>
              <w:ind w:left="71" w:right="130"/>
              <w:rPr>
                <w:iCs/>
                <w:color w:val="000000" w:themeColor="text1"/>
                <w:sz w:val="20"/>
                <w:szCs w:val="20"/>
              </w:rPr>
            </w:pPr>
            <w:r>
              <w:rPr>
                <w:color w:val="000000" w:themeColor="text1"/>
                <w:sz w:val="20"/>
              </w:rPr>
              <w:t>Imaginamos o “Global Culinary Festival 20XX” como uma celebração vibrante da culinária internacional, reunindo chefs de renome mundial, fãs de gastronomia e especialistas culinários em um ambiente festivo, envolvente e educativo. O evento tem como objetivo estimular as papilas gustativas, explorar tradições culinárias e promover uma comunidade culinária global no centro de Nova York.</w:t>
            </w:r>
          </w:p>
        </w:tc>
      </w:tr>
    </w:tbl>
    <w:p w14:paraId="00BFBB29" w14:textId="77777777" w:rsidR="001B18BA" w:rsidRDefault="001B18BA" w:rsidP="001B18BA">
      <w:pPr>
        <w:ind w:left="360"/>
      </w:pPr>
    </w:p>
    <w:p w14:paraId="567BD11C" w14:textId="7252EF11" w:rsidR="0090624C" w:rsidRPr="0090624C" w:rsidRDefault="00670FDF" w:rsidP="009B3F85">
      <w:pPr>
        <w:pStyle w:val="Heading1"/>
        <w:numPr>
          <w:ilvl w:val="0"/>
          <w:numId w:val="1"/>
        </w:numPr>
        <w:ind w:left="360"/>
      </w:pPr>
      <w:bookmarkStart w:id="2" w:name="_Toc184915042"/>
      <w:r>
        <w:t>Visão geral do evento</w:t>
      </w:r>
      <w:bookmarkEnd w:id="2"/>
    </w:p>
    <w:tbl>
      <w:tblPr>
        <w:tblStyle w:val="TableGrid"/>
        <w:tblW w:w="0" w:type="auto"/>
        <w:tblInd w:w="-10" w:type="dxa"/>
        <w:tblLook w:val="04A0" w:firstRow="1" w:lastRow="0" w:firstColumn="1" w:lastColumn="0" w:noHBand="0" w:noVBand="1"/>
      </w:tblPr>
      <w:tblGrid>
        <w:gridCol w:w="10350"/>
      </w:tblGrid>
      <w:tr w:rsidR="001B18BA" w14:paraId="301FDF08" w14:textId="77777777" w:rsidTr="00107CEA">
        <w:trPr>
          <w:trHeight w:val="225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712085F" w14:textId="77777777" w:rsidR="001B18BA" w:rsidRDefault="001B18BA" w:rsidP="00104AF3">
            <w:pPr>
              <w:rPr>
                <w:iCs/>
                <w:color w:val="000000" w:themeColor="text1"/>
                <w:sz w:val="20"/>
                <w:szCs w:val="20"/>
              </w:rPr>
            </w:pPr>
            <w:bookmarkStart w:id="3" w:name="_Hlk164104348"/>
          </w:p>
          <w:p w14:paraId="39D80AB7" w14:textId="57D11834" w:rsidR="001B18BA" w:rsidRPr="002E2597" w:rsidRDefault="00E43AD0" w:rsidP="00104AF3">
            <w:pPr>
              <w:ind w:left="71" w:right="130"/>
              <w:rPr>
                <w:iCs/>
                <w:color w:val="000000" w:themeColor="text1"/>
                <w:sz w:val="20"/>
                <w:szCs w:val="20"/>
              </w:rPr>
            </w:pPr>
            <w:r>
              <w:rPr>
                <w:color w:val="000000" w:themeColor="text1"/>
                <w:sz w:val="20"/>
              </w:rPr>
              <w:t>De 15 a 17 de outubro de 20XX, no Central Park, em Nova York, este festival de três dias ao ar livre contará com demonstrações de culinária, workshops interativos, degustações e apresentações culturais. Com uma participação esperada de mais de 10.000 pessoas, o festival destacará a sustentabilidade alimentar global, a inovação e a arte de cozinhar.</w:t>
            </w:r>
          </w:p>
        </w:tc>
      </w:tr>
      <w:bookmarkEnd w:id="3"/>
    </w:tbl>
    <w:p w14:paraId="51BBF37F" w14:textId="77777777" w:rsidR="001B18BA" w:rsidRDefault="001B18BA" w:rsidP="001B18BA"/>
    <w:p w14:paraId="327934D1" w14:textId="2659D4D2" w:rsidR="0090624C" w:rsidRPr="0090624C" w:rsidRDefault="00D76B31" w:rsidP="009B3F85">
      <w:pPr>
        <w:pStyle w:val="Heading1"/>
        <w:numPr>
          <w:ilvl w:val="0"/>
          <w:numId w:val="1"/>
        </w:numPr>
        <w:ind w:left="360"/>
      </w:pPr>
      <w:bookmarkStart w:id="4" w:name="_Toc184915043"/>
      <w:r>
        <w:t>OBJETIVOS DO EVENTO</w:t>
      </w:r>
      <w:bookmarkEnd w:id="4"/>
    </w:p>
    <w:tbl>
      <w:tblPr>
        <w:tblStyle w:val="TableGrid"/>
        <w:tblW w:w="0" w:type="auto"/>
        <w:tblInd w:w="-10" w:type="dxa"/>
        <w:tblLook w:val="04A0" w:firstRow="1" w:lastRow="0" w:firstColumn="1" w:lastColumn="0" w:noHBand="0" w:noVBand="1"/>
      </w:tblPr>
      <w:tblGrid>
        <w:gridCol w:w="10350"/>
      </w:tblGrid>
      <w:tr w:rsidR="001B18BA" w14:paraId="01B5D899" w14:textId="77777777" w:rsidTr="00F66FE7">
        <w:trPr>
          <w:trHeight w:val="23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EEBFC0E" w14:textId="77777777" w:rsidR="001B18BA" w:rsidRPr="00107CEA" w:rsidRDefault="001B18BA" w:rsidP="00107CEA">
            <w:pPr>
              <w:pStyle w:val="ListParagraph"/>
              <w:rPr>
                <w:iCs/>
                <w:color w:val="000000" w:themeColor="text1"/>
                <w:sz w:val="20"/>
                <w:szCs w:val="20"/>
              </w:rPr>
            </w:pPr>
          </w:p>
          <w:p w14:paraId="064841F7" w14:textId="5FD3D823" w:rsidR="00107CEA" w:rsidRPr="00107CEA" w:rsidRDefault="00107CEA" w:rsidP="00107CEA">
            <w:pPr>
              <w:pStyle w:val="ListParagraph"/>
              <w:numPr>
                <w:ilvl w:val="0"/>
                <w:numId w:val="31"/>
              </w:numPr>
              <w:tabs>
                <w:tab w:val="left" w:pos="3375"/>
              </w:tabs>
              <w:rPr>
                <w:sz w:val="20"/>
                <w:szCs w:val="20"/>
              </w:rPr>
            </w:pPr>
            <w:r>
              <w:rPr>
                <w:sz w:val="20"/>
              </w:rPr>
              <w:t>Celebrar e promover a diversidade das cozinhas e técnicas culinárias mundiais.</w:t>
            </w:r>
          </w:p>
          <w:p w14:paraId="1D1754CF" w14:textId="6E674E5B" w:rsidR="00107CEA" w:rsidRPr="00107CEA" w:rsidRDefault="00107CEA" w:rsidP="00107CEA">
            <w:pPr>
              <w:pStyle w:val="ListParagraph"/>
              <w:numPr>
                <w:ilvl w:val="0"/>
                <w:numId w:val="31"/>
              </w:numPr>
              <w:tabs>
                <w:tab w:val="left" w:pos="3375"/>
              </w:tabs>
              <w:rPr>
                <w:sz w:val="20"/>
                <w:szCs w:val="20"/>
              </w:rPr>
            </w:pPr>
            <w:r>
              <w:rPr>
                <w:sz w:val="20"/>
              </w:rPr>
              <w:t>Fornecer uma plataforma para chefs e produtores de alimentos mostrarem seus talentos e produtos.</w:t>
            </w:r>
          </w:p>
          <w:p w14:paraId="6E31A5E3" w14:textId="0B9D28A1" w:rsidR="003B7CB7" w:rsidRPr="00107CEA" w:rsidRDefault="00107CEA" w:rsidP="00107CEA">
            <w:pPr>
              <w:pStyle w:val="ListParagraph"/>
              <w:numPr>
                <w:ilvl w:val="0"/>
                <w:numId w:val="31"/>
              </w:numPr>
              <w:tabs>
                <w:tab w:val="left" w:pos="3375"/>
              </w:tabs>
              <w:rPr>
                <w:sz w:val="20"/>
                <w:szCs w:val="20"/>
              </w:rPr>
            </w:pPr>
            <w:r>
              <w:rPr>
                <w:sz w:val="20"/>
              </w:rPr>
              <w:t>Ensinar sustentabilidade alimentar e práticas alimentares saudáveis aos participantes.</w:t>
            </w:r>
          </w:p>
        </w:tc>
      </w:tr>
    </w:tbl>
    <w:p w14:paraId="3843250C" w14:textId="77777777" w:rsidR="001B18BA" w:rsidRPr="001B18BA" w:rsidRDefault="001B18BA" w:rsidP="001B18BA">
      <w:pPr>
        <w:ind w:left="360"/>
      </w:pPr>
    </w:p>
    <w:p w14:paraId="75369228" w14:textId="3458D5E1" w:rsidR="005F3691" w:rsidRDefault="008E159E" w:rsidP="00C805C2">
      <w:pPr>
        <w:pStyle w:val="Heading1"/>
        <w:numPr>
          <w:ilvl w:val="0"/>
          <w:numId w:val="1"/>
        </w:numPr>
        <w:spacing w:line="240" w:lineRule="auto"/>
        <w:ind w:left="360"/>
        <w:rPr>
          <w:szCs w:val="28"/>
        </w:rPr>
      </w:pPr>
      <w:bookmarkStart w:id="5" w:name="_Toc184915044"/>
      <w:r>
        <w:t>PÚBLICO-ALVO</w:t>
      </w:r>
      <w:bookmarkEnd w:id="5"/>
    </w:p>
    <w:tbl>
      <w:tblPr>
        <w:tblStyle w:val="TableGrid"/>
        <w:tblW w:w="0" w:type="auto"/>
        <w:tblInd w:w="-10" w:type="dxa"/>
        <w:tblLook w:val="04A0" w:firstRow="1" w:lastRow="0" w:firstColumn="1" w:lastColumn="0" w:noHBand="0" w:noVBand="1"/>
      </w:tblPr>
      <w:tblGrid>
        <w:gridCol w:w="10350"/>
      </w:tblGrid>
      <w:tr w:rsidR="008E159E" w:rsidRPr="002E2597" w14:paraId="64859D9B" w14:textId="77777777" w:rsidTr="00F66FE7">
        <w:trPr>
          <w:trHeight w:val="165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9958D4" w14:textId="77777777" w:rsidR="008E159E" w:rsidRDefault="008E159E" w:rsidP="00505FC7">
            <w:pPr>
              <w:rPr>
                <w:iCs/>
                <w:color w:val="000000" w:themeColor="text1"/>
                <w:sz w:val="20"/>
                <w:szCs w:val="20"/>
              </w:rPr>
            </w:pPr>
          </w:p>
          <w:p w14:paraId="19F198F5" w14:textId="5B66A5BC" w:rsidR="008E159E" w:rsidRPr="002E2597" w:rsidRDefault="00E03C95" w:rsidP="00505FC7">
            <w:pPr>
              <w:ind w:left="71" w:right="130"/>
              <w:rPr>
                <w:iCs/>
                <w:color w:val="000000" w:themeColor="text1"/>
                <w:sz w:val="20"/>
                <w:szCs w:val="20"/>
              </w:rPr>
            </w:pPr>
            <w:r>
              <w:rPr>
                <w:color w:val="000000" w:themeColor="text1"/>
                <w:sz w:val="20"/>
              </w:rPr>
              <w:t>Nosso público-alvo inclui fãs de comida de todas as idades, profissionais de culinária, blogueiros e críticos de comida, famílias e turistas interessados em experimentar cozinhas globais e aprender sobre culturas culinárias de todo o mundo.</w:t>
            </w:r>
          </w:p>
        </w:tc>
      </w:tr>
    </w:tbl>
    <w:p w14:paraId="6545961A" w14:textId="77777777" w:rsidR="008E159E" w:rsidRPr="008E159E" w:rsidRDefault="008E159E" w:rsidP="008E159E"/>
    <w:p w14:paraId="3DBEA0FD" w14:textId="77777777" w:rsidR="008E159E" w:rsidRPr="008E159E" w:rsidRDefault="008E159E" w:rsidP="008E159E"/>
    <w:p w14:paraId="61738E40" w14:textId="77777777" w:rsidR="00707252" w:rsidRPr="00FD76BD" w:rsidRDefault="00707252" w:rsidP="003B7CB7">
      <w:pPr>
        <w:pStyle w:val="BodyText2"/>
        <w:spacing w:line="240" w:lineRule="auto"/>
        <w:rPr>
          <w:i w:val="0"/>
          <w:iCs/>
          <w:sz w:val="20"/>
          <w:szCs w:val="20"/>
        </w:rPr>
      </w:pPr>
    </w:p>
    <w:p w14:paraId="0CC18CB4" w14:textId="48ED46B1" w:rsidR="006A0235" w:rsidRDefault="00A327CC" w:rsidP="00FD76BD">
      <w:pPr>
        <w:pStyle w:val="Heading1"/>
        <w:numPr>
          <w:ilvl w:val="0"/>
          <w:numId w:val="1"/>
        </w:numPr>
        <w:spacing w:line="240" w:lineRule="auto"/>
        <w:ind w:left="360"/>
        <w:rPr>
          <w:szCs w:val="28"/>
        </w:rPr>
      </w:pPr>
      <w:bookmarkStart w:id="6" w:name="_Hlk536359917"/>
      <w:bookmarkStart w:id="7" w:name="_Toc184915045"/>
      <w:r>
        <w:lastRenderedPageBreak/>
        <w:t>detalhes do evento proposto</w:t>
      </w:r>
      <w:bookmarkEnd w:id="7"/>
    </w:p>
    <w:p w14:paraId="783F8AF6" w14:textId="37907DA3" w:rsidR="00A87F35" w:rsidRPr="00DF2A41" w:rsidRDefault="00A327CC" w:rsidP="005D0142">
      <w:pPr>
        <w:rPr>
          <w:color w:val="7F7F7F" w:themeColor="text1" w:themeTint="80"/>
          <w:spacing w:val="26"/>
          <w:sz w:val="24"/>
          <w:szCs w:val="24"/>
        </w:rPr>
      </w:pPr>
      <w:r>
        <w:rPr>
          <w:color w:val="7F7F7F" w:themeColor="text1" w:themeTint="80"/>
          <w:spacing w:val="26"/>
          <w:sz w:val="24"/>
        </w:rPr>
        <w:t>DATA E HORA</w:t>
      </w:r>
    </w:p>
    <w:tbl>
      <w:tblPr>
        <w:tblStyle w:val="TableGrid"/>
        <w:tblW w:w="0" w:type="auto"/>
        <w:tblInd w:w="-10" w:type="dxa"/>
        <w:tblLook w:val="04A0" w:firstRow="1" w:lastRow="0" w:firstColumn="1" w:lastColumn="0" w:noHBand="0" w:noVBand="1"/>
      </w:tblPr>
      <w:tblGrid>
        <w:gridCol w:w="10350"/>
      </w:tblGrid>
      <w:tr w:rsidR="002C2C40" w14:paraId="65B0DD5A" w14:textId="77777777" w:rsidTr="00DF2A41">
        <w:trPr>
          <w:trHeight w:val="11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8C2FAB3" w14:textId="77777777" w:rsidR="002C2C40" w:rsidRDefault="002C2C40" w:rsidP="00916890">
            <w:pPr>
              <w:rPr>
                <w:iCs/>
                <w:color w:val="000000" w:themeColor="text1"/>
                <w:sz w:val="20"/>
                <w:szCs w:val="20"/>
              </w:rPr>
            </w:pPr>
          </w:p>
          <w:p w14:paraId="2B187E45" w14:textId="784774A3" w:rsidR="002C2C40" w:rsidRPr="000F6E6F" w:rsidRDefault="00893C86" w:rsidP="00916890">
            <w:pPr>
              <w:ind w:left="71" w:right="130"/>
              <w:rPr>
                <w:iCs/>
                <w:color w:val="000000" w:themeColor="text1"/>
                <w:sz w:val="20"/>
                <w:szCs w:val="20"/>
              </w:rPr>
            </w:pPr>
            <w:r>
              <w:rPr>
                <w:color w:val="000000" w:themeColor="text1"/>
                <w:sz w:val="20"/>
              </w:rPr>
              <w:t>De 15 a 17 de outubro de 20XX, das 11h às 21h.</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Pr>
          <w:color w:val="7F7F7F" w:themeColor="text1" w:themeTint="80"/>
          <w:spacing w:val="26"/>
          <w:sz w:val="24"/>
        </w:rPr>
        <w:t>LOCAL</w:t>
      </w:r>
    </w:p>
    <w:tbl>
      <w:tblPr>
        <w:tblStyle w:val="TableGrid"/>
        <w:tblW w:w="0" w:type="auto"/>
        <w:tblInd w:w="-10" w:type="dxa"/>
        <w:tblLook w:val="04A0" w:firstRow="1" w:lastRow="0" w:firstColumn="1" w:lastColumn="0" w:noHBand="0" w:noVBand="1"/>
      </w:tblPr>
      <w:tblGrid>
        <w:gridCol w:w="10350"/>
      </w:tblGrid>
      <w:tr w:rsidR="002C2C40" w14:paraId="40FBCAB1" w14:textId="77777777" w:rsidTr="00DF2A41">
        <w:trPr>
          <w:trHeight w:val="14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101878FE" w14:textId="77777777" w:rsidR="002C2C40" w:rsidRDefault="002C2C40" w:rsidP="00916890">
            <w:pPr>
              <w:rPr>
                <w:iCs/>
                <w:color w:val="000000" w:themeColor="text1"/>
                <w:sz w:val="20"/>
                <w:szCs w:val="20"/>
              </w:rPr>
            </w:pPr>
          </w:p>
          <w:p w14:paraId="15E65948" w14:textId="7E158D62" w:rsidR="002C2C40" w:rsidRPr="000F6E6F" w:rsidRDefault="00E03C95" w:rsidP="00916890">
            <w:pPr>
              <w:ind w:left="71" w:right="130"/>
              <w:rPr>
                <w:iCs/>
                <w:color w:val="000000" w:themeColor="text1"/>
                <w:sz w:val="20"/>
                <w:szCs w:val="20"/>
              </w:rPr>
            </w:pPr>
            <w:r>
              <w:rPr>
                <w:color w:val="000000" w:themeColor="text1"/>
                <w:sz w:val="20"/>
              </w:rPr>
              <w:t>O evento será realizado no Central Park, em Nova York. Usaremos os amplos espaços verdes do parque para várias zonas de eventos, palcos e estandes de fornecedores.</w:t>
            </w:r>
          </w:p>
        </w:tc>
      </w:tr>
    </w:tbl>
    <w:p w14:paraId="169BB03C" w14:textId="77777777" w:rsidR="00A87F35" w:rsidRPr="00E62E7D" w:rsidRDefault="00A87F35" w:rsidP="00A87F35">
      <w:pPr>
        <w:ind w:left="360"/>
      </w:pPr>
    </w:p>
    <w:p w14:paraId="6DC4AFA8" w14:textId="70AC4C36" w:rsidR="00A87F35" w:rsidRPr="00DF2A41" w:rsidRDefault="003F620A" w:rsidP="005D0142">
      <w:pPr>
        <w:rPr>
          <w:color w:val="7F7F7F" w:themeColor="text1" w:themeTint="80"/>
          <w:spacing w:val="26"/>
          <w:sz w:val="24"/>
          <w:szCs w:val="24"/>
        </w:rPr>
      </w:pPr>
      <w:r>
        <w:rPr>
          <w:color w:val="7F7F7F" w:themeColor="text1" w:themeTint="80"/>
          <w:spacing w:val="26"/>
          <w:sz w:val="24"/>
        </w:rPr>
        <w:t>ESBOÇO DO PROGRAMA</w:t>
      </w:r>
    </w:p>
    <w:tbl>
      <w:tblPr>
        <w:tblStyle w:val="TableGrid"/>
        <w:tblW w:w="0" w:type="auto"/>
        <w:tblInd w:w="-10" w:type="dxa"/>
        <w:tblLook w:val="04A0" w:firstRow="1" w:lastRow="0" w:firstColumn="1" w:lastColumn="0" w:noHBand="0" w:noVBand="1"/>
      </w:tblPr>
      <w:tblGrid>
        <w:gridCol w:w="10350"/>
      </w:tblGrid>
      <w:tr w:rsidR="00A87F35" w14:paraId="46F6F8A4" w14:textId="77777777" w:rsidTr="005A4574">
        <w:trPr>
          <w:trHeight w:val="233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D93B346" w14:textId="77777777" w:rsidR="00A87F35" w:rsidRDefault="00A87F35" w:rsidP="00104AF3">
            <w:pPr>
              <w:rPr>
                <w:iCs/>
                <w:color w:val="000000" w:themeColor="text1"/>
                <w:sz w:val="20"/>
                <w:szCs w:val="20"/>
              </w:rPr>
            </w:pPr>
          </w:p>
          <w:p w14:paraId="53892537" w14:textId="13924541" w:rsidR="005A4574" w:rsidRDefault="005A4574" w:rsidP="005A4574">
            <w:pPr>
              <w:ind w:left="71" w:right="130"/>
              <w:rPr>
                <w:iCs/>
                <w:color w:val="000000" w:themeColor="text1"/>
                <w:sz w:val="20"/>
                <w:szCs w:val="20"/>
              </w:rPr>
            </w:pPr>
            <w:r>
              <w:rPr>
                <w:color w:val="000000" w:themeColor="text1"/>
                <w:sz w:val="20"/>
              </w:rPr>
              <w:t>Dia 1: cerimônia de abertura com um discurso sobre a sustentabilidade global dos alimentos, seguido por demonstrações de culinária regional.</w:t>
            </w:r>
          </w:p>
          <w:p w14:paraId="1CB81EAD" w14:textId="77777777" w:rsidR="005A4574" w:rsidRPr="005A4574" w:rsidRDefault="005A4574" w:rsidP="005A4574">
            <w:pPr>
              <w:ind w:left="71" w:right="130"/>
              <w:rPr>
                <w:iCs/>
                <w:color w:val="000000" w:themeColor="text1"/>
                <w:sz w:val="20"/>
                <w:szCs w:val="20"/>
              </w:rPr>
            </w:pPr>
          </w:p>
          <w:p w14:paraId="4F658F0A" w14:textId="139F0CE9" w:rsidR="005A4574" w:rsidRPr="005A4574" w:rsidRDefault="005A4574" w:rsidP="005A4574">
            <w:pPr>
              <w:ind w:left="71" w:right="130"/>
              <w:rPr>
                <w:iCs/>
                <w:color w:val="000000" w:themeColor="text1"/>
                <w:sz w:val="20"/>
                <w:szCs w:val="20"/>
              </w:rPr>
            </w:pPr>
            <w:r>
              <w:rPr>
                <w:color w:val="000000" w:themeColor="text1"/>
                <w:sz w:val="20"/>
              </w:rPr>
              <w:t>Dia 2: workshops interativos de culinária para adultos e crianças, degustações organizadas por chefs internacionais e apresentações culturais noturnas.</w:t>
            </w:r>
          </w:p>
          <w:p w14:paraId="417AD495" w14:textId="77777777" w:rsidR="005A4574" w:rsidRDefault="005A4574" w:rsidP="005A4574">
            <w:pPr>
              <w:ind w:left="71" w:right="130"/>
              <w:rPr>
                <w:iCs/>
                <w:color w:val="000000" w:themeColor="text1"/>
                <w:sz w:val="20"/>
                <w:szCs w:val="20"/>
              </w:rPr>
            </w:pPr>
          </w:p>
          <w:p w14:paraId="165145FF" w14:textId="63E36D0A" w:rsidR="00A87F35" w:rsidRPr="000F6E6F" w:rsidRDefault="005A4574" w:rsidP="005A4574">
            <w:pPr>
              <w:ind w:left="71" w:right="130"/>
              <w:rPr>
                <w:iCs/>
                <w:color w:val="000000" w:themeColor="text1"/>
                <w:sz w:val="20"/>
                <w:szCs w:val="20"/>
              </w:rPr>
            </w:pPr>
            <w:r>
              <w:rPr>
                <w:color w:val="000000" w:themeColor="text1"/>
                <w:sz w:val="20"/>
              </w:rPr>
              <w:t>Dia 3: palestras de inovação culinária, competições de chefs e festividades de encerramento, incluindo um mercado de alimentos globais.</w:t>
            </w:r>
          </w:p>
        </w:tc>
      </w:tr>
    </w:tbl>
    <w:p w14:paraId="0BAD7D7A" w14:textId="77777777" w:rsidR="00E62E7D" w:rsidRDefault="00E62E7D" w:rsidP="00E62E7D">
      <w:pPr>
        <w:pStyle w:val="ListParagraph"/>
      </w:pPr>
    </w:p>
    <w:p w14:paraId="153F747A" w14:textId="3BBC0528" w:rsidR="0064485A" w:rsidRDefault="004C4C80" w:rsidP="00C805C2">
      <w:pPr>
        <w:pStyle w:val="Heading1"/>
        <w:numPr>
          <w:ilvl w:val="0"/>
          <w:numId w:val="1"/>
        </w:numPr>
        <w:spacing w:line="240" w:lineRule="auto"/>
        <w:ind w:left="360"/>
        <w:rPr>
          <w:szCs w:val="28"/>
        </w:rPr>
      </w:pPr>
      <w:bookmarkStart w:id="8" w:name="_Toc184915046"/>
      <w:bookmarkEnd w:id="6"/>
      <w:r>
        <w:t>ESTRATÉGIA DE MARKETING E PROMOÇÃO</w:t>
      </w:r>
      <w:bookmarkEnd w:id="8"/>
    </w:p>
    <w:tbl>
      <w:tblPr>
        <w:tblStyle w:val="TableGrid"/>
        <w:tblW w:w="0" w:type="auto"/>
        <w:tblInd w:w="-10" w:type="dxa"/>
        <w:tblLook w:val="04A0" w:firstRow="1" w:lastRow="0" w:firstColumn="1" w:lastColumn="0" w:noHBand="0" w:noVBand="1"/>
      </w:tblPr>
      <w:tblGrid>
        <w:gridCol w:w="10350"/>
      </w:tblGrid>
      <w:tr w:rsidR="009524A2" w14:paraId="6A2B6F52" w14:textId="77777777" w:rsidTr="009639B4">
        <w:trPr>
          <w:trHeight w:val="1299"/>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D56604A" w14:textId="77777777" w:rsidR="009639B4" w:rsidRDefault="009639B4" w:rsidP="00A670E4">
            <w:pPr>
              <w:ind w:right="130"/>
              <w:rPr>
                <w:iCs/>
                <w:color w:val="000000" w:themeColor="text1"/>
                <w:sz w:val="20"/>
                <w:szCs w:val="20"/>
              </w:rPr>
            </w:pPr>
          </w:p>
          <w:p w14:paraId="7A5D58FA" w14:textId="28EBA45E" w:rsidR="009524A2" w:rsidRPr="000F6E6F" w:rsidRDefault="00E03C95" w:rsidP="003207B1">
            <w:pPr>
              <w:ind w:left="71" w:right="130"/>
              <w:rPr>
                <w:iCs/>
                <w:color w:val="000000" w:themeColor="text1"/>
                <w:sz w:val="20"/>
                <w:szCs w:val="20"/>
              </w:rPr>
            </w:pPr>
            <w:r>
              <w:rPr>
                <w:color w:val="000000" w:themeColor="text1"/>
                <w:sz w:val="20"/>
              </w:rPr>
              <w:t>Adotaremos uma abordagem de marketing integrada, incluindo a garantia de parcerias com influenciadores na área de alimentos e estilo de vida, execução de campanhas direcionadas de redes sociais e mídia tradicional, além de colaboração com escolas e organizações culinárias.</w:t>
            </w:r>
          </w:p>
        </w:tc>
      </w:tr>
    </w:tbl>
    <w:p w14:paraId="1F5A8A69" w14:textId="77777777" w:rsidR="00E62E7D" w:rsidRPr="00E62E7D" w:rsidRDefault="00E62E7D" w:rsidP="00E62E7D">
      <w:pPr>
        <w:ind w:left="900" w:hanging="540"/>
      </w:pPr>
    </w:p>
    <w:p w14:paraId="18EB7EB5" w14:textId="747F7738" w:rsidR="00D45F6C" w:rsidRPr="00311AEF" w:rsidRDefault="00311AEF" w:rsidP="00311AEF">
      <w:pPr>
        <w:pStyle w:val="Heading1"/>
        <w:numPr>
          <w:ilvl w:val="0"/>
          <w:numId w:val="1"/>
        </w:numPr>
        <w:spacing w:line="240" w:lineRule="auto"/>
        <w:ind w:left="360"/>
        <w:rPr>
          <w:szCs w:val="28"/>
        </w:rPr>
      </w:pPr>
      <w:bookmarkStart w:id="9" w:name="_Hlk536359919"/>
      <w:bookmarkStart w:id="10" w:name="_Toc184915047"/>
      <w:r>
        <w:t>OPORTUNIDADES DE PATROCÍNIO</w:t>
      </w:r>
      <w:bookmarkEnd w:id="10"/>
    </w:p>
    <w:tbl>
      <w:tblPr>
        <w:tblStyle w:val="TableGrid"/>
        <w:tblW w:w="0" w:type="auto"/>
        <w:tblInd w:w="-10" w:type="dxa"/>
        <w:tblLook w:val="04A0" w:firstRow="1" w:lastRow="0" w:firstColumn="1" w:lastColumn="0" w:noHBand="0" w:noVBand="1"/>
      </w:tblPr>
      <w:tblGrid>
        <w:gridCol w:w="10350"/>
      </w:tblGrid>
      <w:tr w:rsidR="00D45F6C" w14:paraId="2777C13E" w14:textId="77777777" w:rsidTr="006B490E">
        <w:trPr>
          <w:trHeight w:val="134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D05AFFF" w14:textId="77777777" w:rsidR="006B490E" w:rsidRDefault="006B490E" w:rsidP="00A670E4">
            <w:pPr>
              <w:ind w:right="130"/>
              <w:rPr>
                <w:iCs/>
                <w:color w:val="000000" w:themeColor="text1"/>
                <w:sz w:val="20"/>
                <w:szCs w:val="20"/>
              </w:rPr>
            </w:pPr>
          </w:p>
          <w:p w14:paraId="53DEDAAB" w14:textId="5E3DBAAA" w:rsidR="00D45F6C" w:rsidRPr="000F6E6F" w:rsidRDefault="00E03C95" w:rsidP="003207B1">
            <w:pPr>
              <w:ind w:left="71" w:right="130"/>
              <w:rPr>
                <w:iCs/>
                <w:color w:val="000000" w:themeColor="text1"/>
                <w:sz w:val="20"/>
                <w:szCs w:val="20"/>
              </w:rPr>
            </w:pPr>
            <w:r>
              <w:rPr>
                <w:color w:val="000000" w:themeColor="text1"/>
                <w:sz w:val="20"/>
              </w:rPr>
              <w:t>Ofereceremos pacotes de patrocínio personalizados, com benefícios que incluem visibilidade da marca, acesso VIP e oportunidades para apresentar produtos no festival.</w:t>
            </w:r>
          </w:p>
        </w:tc>
      </w:tr>
    </w:tbl>
    <w:p w14:paraId="383D2950" w14:textId="77777777" w:rsidR="00D45F6C" w:rsidRPr="00E62E7D" w:rsidRDefault="00D45F6C" w:rsidP="00D45F6C">
      <w:pPr>
        <w:ind w:left="900" w:hanging="540"/>
      </w:pPr>
    </w:p>
    <w:p w14:paraId="3C449D61" w14:textId="77777777" w:rsidR="00D45F6C" w:rsidRPr="00E62E7D" w:rsidRDefault="00D45F6C" w:rsidP="00D45F6C">
      <w:pPr>
        <w:ind w:left="900" w:hanging="540"/>
      </w:pPr>
    </w:p>
    <w:p w14:paraId="5ADA6A28" w14:textId="77777777" w:rsidR="00D45F6C" w:rsidRDefault="00D45F6C" w:rsidP="00D45F6C">
      <w:pPr>
        <w:pStyle w:val="ListParagraph"/>
      </w:pPr>
    </w:p>
    <w:p w14:paraId="0827768C" w14:textId="77777777" w:rsidR="00D45F6C" w:rsidRDefault="00D45F6C" w:rsidP="00E62E7D">
      <w:pPr>
        <w:sectPr w:rsidR="00D45F6C" w:rsidSect="001E73C7">
          <w:pgSz w:w="12240" w:h="15840"/>
          <w:pgMar w:top="490" w:right="720" w:bottom="360" w:left="1008" w:header="490" w:footer="720" w:gutter="0"/>
          <w:cols w:space="720"/>
          <w:titlePg/>
          <w:docGrid w:linePitch="360"/>
        </w:sectPr>
      </w:pPr>
    </w:p>
    <w:p w14:paraId="09BF2B5B" w14:textId="3F86A361" w:rsidR="00D45F6C" w:rsidRPr="00637FB8" w:rsidRDefault="00637FB8" w:rsidP="00637FB8">
      <w:pPr>
        <w:pStyle w:val="Heading1"/>
        <w:numPr>
          <w:ilvl w:val="0"/>
          <w:numId w:val="1"/>
        </w:numPr>
        <w:spacing w:line="240" w:lineRule="auto"/>
        <w:ind w:left="360"/>
        <w:rPr>
          <w:szCs w:val="28"/>
        </w:rPr>
      </w:pPr>
      <w:bookmarkStart w:id="11" w:name="_Toc184915048"/>
      <w:r>
        <w:lastRenderedPageBreak/>
        <w:t>visão geral do orçamento</w:t>
      </w:r>
      <w:bookmarkEnd w:id="11"/>
    </w:p>
    <w:tbl>
      <w:tblPr>
        <w:tblStyle w:val="TableGrid"/>
        <w:tblW w:w="0" w:type="auto"/>
        <w:tblInd w:w="-10" w:type="dxa"/>
        <w:tblLook w:val="04A0" w:firstRow="1" w:lastRow="0" w:firstColumn="1" w:lastColumn="0" w:noHBand="0" w:noVBand="1"/>
      </w:tblPr>
      <w:tblGrid>
        <w:gridCol w:w="10350"/>
      </w:tblGrid>
      <w:tr w:rsidR="00D45F6C" w14:paraId="203311AB" w14:textId="77777777" w:rsidTr="006B490E">
        <w:trPr>
          <w:trHeight w:val="188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DDF7B52" w14:textId="77777777" w:rsidR="00603597" w:rsidRDefault="00603597" w:rsidP="00A670E4">
            <w:pPr>
              <w:ind w:right="130"/>
              <w:rPr>
                <w:iCs/>
                <w:color w:val="000000" w:themeColor="text1"/>
                <w:sz w:val="20"/>
                <w:szCs w:val="20"/>
              </w:rPr>
            </w:pPr>
          </w:p>
          <w:p w14:paraId="3D7081DF" w14:textId="288B764D" w:rsidR="00D45F6C" w:rsidRPr="000F6E6F" w:rsidRDefault="001269E5" w:rsidP="003207B1">
            <w:pPr>
              <w:ind w:left="71" w:right="130"/>
              <w:rPr>
                <w:iCs/>
                <w:color w:val="000000" w:themeColor="text1"/>
                <w:sz w:val="20"/>
                <w:szCs w:val="20"/>
              </w:rPr>
            </w:pPr>
            <w:r>
              <w:rPr>
                <w:color w:val="000000" w:themeColor="text1"/>
                <w:sz w:val="20"/>
              </w:rPr>
              <w:t>Estimamos um orçamento de R$ 300.000, cobrindo as instalações no local, o marketing, as acomodações dos participantes e as operações do evento. Prevemos uma receita de R$ 450.000, com fontes que incluem vendas de ingressos, patrocínios e taxas de fornecedores.</w:t>
            </w:r>
          </w:p>
        </w:tc>
      </w:tr>
    </w:tbl>
    <w:p w14:paraId="623995CD" w14:textId="77777777" w:rsidR="00D45F6C" w:rsidRPr="00E62E7D" w:rsidRDefault="00D45F6C" w:rsidP="00D45F6C">
      <w:pPr>
        <w:ind w:left="900" w:hanging="540"/>
      </w:pPr>
    </w:p>
    <w:p w14:paraId="4BF68FAE" w14:textId="3759BF9E" w:rsidR="006A0235" w:rsidRPr="00603597" w:rsidRDefault="00603597" w:rsidP="00603597">
      <w:pPr>
        <w:pStyle w:val="Heading1"/>
        <w:numPr>
          <w:ilvl w:val="0"/>
          <w:numId w:val="1"/>
        </w:numPr>
        <w:spacing w:line="240" w:lineRule="auto"/>
        <w:ind w:left="360"/>
        <w:rPr>
          <w:szCs w:val="28"/>
        </w:rPr>
      </w:pPr>
      <w:bookmarkStart w:id="12" w:name="_Hlk536359920"/>
      <w:bookmarkStart w:id="13" w:name="_Toc184915049"/>
      <w:bookmarkEnd w:id="9"/>
      <w:r>
        <w:t>logística e operações</w:t>
      </w:r>
      <w:bookmarkStart w:id="14" w:name="_Hlk536359921"/>
      <w:bookmarkEnd w:id="12"/>
      <w:bookmarkEnd w:id="13"/>
    </w:p>
    <w:tbl>
      <w:tblPr>
        <w:tblStyle w:val="TableGrid"/>
        <w:tblW w:w="0" w:type="auto"/>
        <w:tblInd w:w="-10" w:type="dxa"/>
        <w:tblLook w:val="04A0" w:firstRow="1" w:lastRow="0" w:firstColumn="1" w:lastColumn="0" w:noHBand="0" w:noVBand="1"/>
      </w:tblPr>
      <w:tblGrid>
        <w:gridCol w:w="10350"/>
      </w:tblGrid>
      <w:tr w:rsidR="00887262" w14:paraId="2B6678C0" w14:textId="77777777" w:rsidTr="00C530A5">
        <w:trPr>
          <w:trHeight w:val="17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AE37B6B" w14:textId="77777777" w:rsidR="00887262" w:rsidRDefault="00887262" w:rsidP="007B0441">
            <w:pPr>
              <w:ind w:right="130"/>
              <w:rPr>
                <w:iCs/>
                <w:color w:val="000000" w:themeColor="text1"/>
              </w:rPr>
            </w:pPr>
          </w:p>
          <w:p w14:paraId="1F58C411" w14:textId="047F673A" w:rsidR="00207092" w:rsidRPr="00207092" w:rsidRDefault="001269E5" w:rsidP="003207B1">
            <w:pPr>
              <w:ind w:left="71" w:right="130"/>
              <w:rPr>
                <w:iCs/>
                <w:color w:val="000000" w:themeColor="text1"/>
                <w:sz w:val="20"/>
                <w:szCs w:val="20"/>
              </w:rPr>
            </w:pPr>
            <w:r>
              <w:rPr>
                <w:color w:val="000000" w:themeColor="text1"/>
                <w:sz w:val="20"/>
              </w:rPr>
              <w:t>Criaremos planos detalhados para coordenação de fornecedores, gerenciamento de fluxo de participantes, saneamento, segurança e serviços de emergência para garantir uma experiência segura e agradável para todos.</w:t>
            </w:r>
          </w:p>
        </w:tc>
      </w:tr>
    </w:tbl>
    <w:p w14:paraId="09DDDCE5" w14:textId="77777777" w:rsidR="006C6666" w:rsidRDefault="006C6666" w:rsidP="00DC17AA">
      <w:pPr>
        <w:pStyle w:val="ListParagraph"/>
      </w:pPr>
    </w:p>
    <w:p w14:paraId="5CEEE95D" w14:textId="4AEF4B12" w:rsidR="006C6666" w:rsidRPr="00207092" w:rsidRDefault="00207092" w:rsidP="00207092">
      <w:pPr>
        <w:pStyle w:val="Heading1"/>
        <w:numPr>
          <w:ilvl w:val="0"/>
          <w:numId w:val="1"/>
        </w:numPr>
        <w:spacing w:line="240" w:lineRule="auto"/>
        <w:ind w:left="360"/>
        <w:rPr>
          <w:szCs w:val="28"/>
        </w:rPr>
      </w:pPr>
      <w:bookmarkStart w:id="15" w:name="_Toc184915050"/>
      <w:r>
        <w:t>GERENCIAMENTO DE RISCOS</w:t>
      </w:r>
      <w:bookmarkEnd w:id="15"/>
    </w:p>
    <w:tbl>
      <w:tblPr>
        <w:tblStyle w:val="TableGrid"/>
        <w:tblW w:w="0" w:type="auto"/>
        <w:tblInd w:w="-10" w:type="dxa"/>
        <w:tblLook w:val="04A0" w:firstRow="1" w:lastRow="0" w:firstColumn="1" w:lastColumn="0" w:noHBand="0" w:noVBand="1"/>
      </w:tblPr>
      <w:tblGrid>
        <w:gridCol w:w="10350"/>
      </w:tblGrid>
      <w:tr w:rsidR="006C6666" w14:paraId="5CDFD1C5" w14:textId="77777777" w:rsidTr="007F52B0">
        <w:trPr>
          <w:trHeight w:val="171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2146DB9" w14:textId="77777777" w:rsidR="007F52B0" w:rsidRDefault="007F52B0" w:rsidP="00A670E4">
            <w:pPr>
              <w:ind w:right="130"/>
              <w:rPr>
                <w:iCs/>
                <w:color w:val="000000" w:themeColor="text1"/>
                <w:sz w:val="20"/>
                <w:szCs w:val="20"/>
              </w:rPr>
            </w:pPr>
          </w:p>
          <w:p w14:paraId="20078E03" w14:textId="2B28CC25" w:rsidR="006C6666" w:rsidRPr="000F6E6F" w:rsidRDefault="001269E5" w:rsidP="003207B1">
            <w:pPr>
              <w:ind w:left="71" w:right="130"/>
              <w:rPr>
                <w:iCs/>
                <w:color w:val="000000" w:themeColor="text1"/>
                <w:sz w:val="20"/>
                <w:szCs w:val="20"/>
              </w:rPr>
            </w:pPr>
            <w:r>
              <w:rPr>
                <w:color w:val="000000" w:themeColor="text1"/>
                <w:sz w:val="20"/>
              </w:rPr>
              <w:t>Identificaremos potenciais riscos como interferências climáticas, preocupações com saúde e segurança e problemas de segurança alimentar. Incluiremos planos abrangentes para cada cenário, a fim de garantir que o festival funcione sem problemas.</w:t>
            </w:r>
          </w:p>
        </w:tc>
      </w:tr>
    </w:tbl>
    <w:p w14:paraId="117F53C0" w14:textId="77777777" w:rsidR="006C6666" w:rsidRPr="00E62E7D" w:rsidRDefault="006C6666" w:rsidP="006C6666">
      <w:pPr>
        <w:ind w:left="900" w:hanging="540"/>
      </w:pPr>
    </w:p>
    <w:p w14:paraId="72EDC64A" w14:textId="5738E055" w:rsidR="00897ABF" w:rsidRPr="003E6CAC" w:rsidRDefault="003E6CAC" w:rsidP="003E6CAC">
      <w:pPr>
        <w:pStyle w:val="Heading1"/>
        <w:numPr>
          <w:ilvl w:val="0"/>
          <w:numId w:val="1"/>
        </w:numPr>
        <w:spacing w:line="240" w:lineRule="auto"/>
        <w:ind w:left="360"/>
        <w:rPr>
          <w:szCs w:val="28"/>
        </w:rPr>
      </w:pPr>
      <w:bookmarkStart w:id="16" w:name="_Hlk164104667"/>
      <w:bookmarkStart w:id="17" w:name="_Toc184915051"/>
      <w:r>
        <w:t>CONCLUSÕES</w:t>
      </w:r>
      <w:bookmarkEnd w:id="17"/>
    </w:p>
    <w:tbl>
      <w:tblPr>
        <w:tblStyle w:val="TableGrid"/>
        <w:tblW w:w="0" w:type="auto"/>
        <w:tblInd w:w="-10" w:type="dxa"/>
        <w:tblLook w:val="04A0" w:firstRow="1" w:lastRow="0" w:firstColumn="1" w:lastColumn="0" w:noHBand="0" w:noVBand="1"/>
      </w:tblPr>
      <w:tblGrid>
        <w:gridCol w:w="10350"/>
      </w:tblGrid>
      <w:tr w:rsidR="00897ABF" w14:paraId="6B77111C" w14:textId="77777777" w:rsidTr="007F52B0">
        <w:trPr>
          <w:trHeight w:val="184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6DCEDA2" w14:textId="77777777" w:rsidR="00897ABF" w:rsidRDefault="00897ABF" w:rsidP="00104AF3">
            <w:pPr>
              <w:rPr>
                <w:iCs/>
                <w:color w:val="000000" w:themeColor="text1"/>
                <w:sz w:val="20"/>
                <w:szCs w:val="20"/>
              </w:rPr>
            </w:pPr>
          </w:p>
          <w:p w14:paraId="0495374C" w14:textId="630FC0CF" w:rsidR="00897ABF" w:rsidRPr="000F6E6F" w:rsidRDefault="00F60A39" w:rsidP="00104AF3">
            <w:pPr>
              <w:ind w:left="71" w:right="130"/>
              <w:rPr>
                <w:iCs/>
                <w:color w:val="000000" w:themeColor="text1"/>
                <w:sz w:val="20"/>
                <w:szCs w:val="20"/>
              </w:rPr>
            </w:pPr>
            <w:r>
              <w:rPr>
                <w:color w:val="000000" w:themeColor="text1"/>
                <w:sz w:val="20"/>
              </w:rPr>
              <w:t>O “Global Culinary Festival 20XX” será uma jornada inesquecível pelas diferentes culinárias do mundo, oferecendo uma mistura única entre sabores, tradições e inovações. Convidamos todas as partes interessadas a se juntarem a nós para tornar este festival um evento marcante, que celebrará a linguagem universal da comida.</w:t>
            </w:r>
          </w:p>
        </w:tc>
      </w:tr>
      <w:bookmarkEnd w:id="16"/>
    </w:tbl>
    <w:p w14:paraId="51D84958" w14:textId="77777777" w:rsidR="00897ABF" w:rsidRDefault="00897ABF" w:rsidP="00897ABF">
      <w:pPr>
        <w:ind w:left="900" w:hanging="540"/>
      </w:pPr>
    </w:p>
    <w:p w14:paraId="76E2B183" w14:textId="462AA8E6" w:rsidR="0007537F" w:rsidRPr="003E6CAC" w:rsidRDefault="0007537F" w:rsidP="008E5965">
      <w:pPr>
        <w:pStyle w:val="Heading1"/>
        <w:pageBreakBefore/>
        <w:numPr>
          <w:ilvl w:val="0"/>
          <w:numId w:val="1"/>
        </w:numPr>
        <w:spacing w:line="240" w:lineRule="auto"/>
        <w:ind w:left="629" w:hanging="629"/>
        <w:rPr>
          <w:szCs w:val="28"/>
        </w:rPr>
      </w:pPr>
      <w:bookmarkStart w:id="18" w:name="_Toc184915052"/>
      <w:r>
        <w:lastRenderedPageBreak/>
        <w:t>ANEXO</w:t>
      </w:r>
      <w:bookmarkEnd w:id="18"/>
    </w:p>
    <w:tbl>
      <w:tblPr>
        <w:tblStyle w:val="TableGrid"/>
        <w:tblW w:w="0" w:type="auto"/>
        <w:tblInd w:w="80" w:type="dxa"/>
        <w:tblLook w:val="04A0" w:firstRow="1" w:lastRow="0" w:firstColumn="1" w:lastColumn="0" w:noHBand="0" w:noVBand="1"/>
      </w:tblPr>
      <w:tblGrid>
        <w:gridCol w:w="10260"/>
      </w:tblGrid>
      <w:tr w:rsidR="0007537F" w14:paraId="259B4D2F" w14:textId="77777777" w:rsidTr="00123338">
        <w:trPr>
          <w:trHeight w:val="2041"/>
        </w:trPr>
        <w:tc>
          <w:tcPr>
            <w:tcW w:w="102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39B1169" w14:textId="77777777" w:rsidR="00052B3F" w:rsidRDefault="00052B3F" w:rsidP="00052B3F">
            <w:pPr>
              <w:rPr>
                <w:iCs/>
                <w:color w:val="000000" w:themeColor="text1"/>
                <w:sz w:val="20"/>
                <w:szCs w:val="20"/>
              </w:rPr>
            </w:pPr>
          </w:p>
          <w:p w14:paraId="2514D1E7" w14:textId="16A719F2" w:rsidR="00052B3F" w:rsidRPr="003207B1" w:rsidRDefault="00052B3F" w:rsidP="003207B1">
            <w:pPr>
              <w:ind w:left="71" w:right="130"/>
              <w:rPr>
                <w:color w:val="000000" w:themeColor="text1"/>
                <w:sz w:val="20"/>
              </w:rPr>
            </w:pPr>
            <w:r>
              <w:rPr>
                <w:color w:val="000000" w:themeColor="text1"/>
                <w:sz w:val="20"/>
              </w:rPr>
              <w:t>A: Mapa de layout do evento no Central Park.</w:t>
            </w:r>
          </w:p>
          <w:p w14:paraId="64F7FE02" w14:textId="77777777" w:rsidR="00052B3F" w:rsidRPr="003207B1" w:rsidRDefault="00052B3F" w:rsidP="003207B1">
            <w:pPr>
              <w:ind w:left="71" w:right="130"/>
              <w:rPr>
                <w:color w:val="000000" w:themeColor="text1"/>
                <w:sz w:val="20"/>
              </w:rPr>
            </w:pPr>
          </w:p>
          <w:p w14:paraId="2AC54597" w14:textId="51C0D210" w:rsidR="00052B3F" w:rsidRPr="003207B1" w:rsidRDefault="00052B3F" w:rsidP="003207B1">
            <w:pPr>
              <w:ind w:left="71" w:right="130"/>
              <w:rPr>
                <w:color w:val="000000" w:themeColor="text1"/>
                <w:sz w:val="20"/>
              </w:rPr>
            </w:pPr>
            <w:r>
              <w:rPr>
                <w:color w:val="000000" w:themeColor="text1"/>
                <w:sz w:val="20"/>
              </w:rPr>
              <w:t>B: Cronograma de demonstrações e workshops de culinária.</w:t>
            </w:r>
          </w:p>
          <w:p w14:paraId="46CEAE8A" w14:textId="77777777" w:rsidR="00052B3F" w:rsidRPr="003207B1" w:rsidRDefault="00052B3F" w:rsidP="003207B1">
            <w:pPr>
              <w:ind w:left="71" w:right="130"/>
              <w:rPr>
                <w:color w:val="000000" w:themeColor="text1"/>
                <w:sz w:val="20"/>
              </w:rPr>
            </w:pPr>
          </w:p>
          <w:p w14:paraId="6D0B6DF2" w14:textId="6E7E060F" w:rsidR="00052B3F" w:rsidRPr="003207B1" w:rsidRDefault="00052B3F" w:rsidP="003207B1">
            <w:pPr>
              <w:ind w:left="71" w:right="130"/>
              <w:rPr>
                <w:color w:val="000000" w:themeColor="text1"/>
                <w:sz w:val="20"/>
              </w:rPr>
            </w:pPr>
            <w:r>
              <w:rPr>
                <w:color w:val="000000" w:themeColor="text1"/>
                <w:sz w:val="20"/>
              </w:rPr>
              <w:t>C: Lista de chefs participantes e especialistas em culinária.</w:t>
            </w:r>
          </w:p>
          <w:p w14:paraId="70FBAD11" w14:textId="77777777" w:rsidR="00052B3F" w:rsidRPr="003207B1" w:rsidRDefault="00052B3F" w:rsidP="003207B1">
            <w:pPr>
              <w:ind w:left="71" w:right="130"/>
              <w:rPr>
                <w:color w:val="000000" w:themeColor="text1"/>
                <w:sz w:val="20"/>
              </w:rPr>
            </w:pPr>
          </w:p>
          <w:p w14:paraId="1022E441" w14:textId="7670882C" w:rsidR="0007537F" w:rsidRPr="000F6E6F" w:rsidRDefault="00052B3F" w:rsidP="003207B1">
            <w:pPr>
              <w:ind w:left="71" w:right="130"/>
              <w:rPr>
                <w:iCs/>
                <w:color w:val="000000" w:themeColor="text1"/>
                <w:sz w:val="20"/>
                <w:szCs w:val="20"/>
              </w:rPr>
            </w:pPr>
            <w:r>
              <w:rPr>
                <w:color w:val="000000" w:themeColor="text1"/>
                <w:sz w:val="20"/>
              </w:rPr>
              <w:t>D: Folheto de informações sobre patrocínio.</w:t>
            </w:r>
          </w:p>
        </w:tc>
      </w:tr>
    </w:tbl>
    <w:p w14:paraId="3E00B38E" w14:textId="77777777" w:rsidR="0007537F" w:rsidRPr="00E62E7D" w:rsidRDefault="0007537F" w:rsidP="00897ABF">
      <w:pPr>
        <w:ind w:left="900" w:hanging="540"/>
      </w:pP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6670A165" w:rsidR="007078CD" w:rsidRPr="000F6E6F" w:rsidRDefault="001269E5"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Mike Mussina, Epicurean Events</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REVISADO POR</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7428DD62" w:rsidR="007078CD" w:rsidRPr="000F6E6F" w:rsidRDefault="009A1AC2"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Suzyn Waldman, planejadora sênior de eventos</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APROVAÇÃO</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148608B1" w:rsidR="007078CD" w:rsidRPr="000F6E6F" w:rsidRDefault="00052B3F"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Paul O’Neill, diretor de eventos</w:t>
            </w:r>
          </w:p>
        </w:tc>
      </w:tr>
    </w:tbl>
    <w:p w14:paraId="1D26C1C2" w14:textId="37D3B22D" w:rsidR="007078CD" w:rsidRPr="007078CD" w:rsidRDefault="007078CD" w:rsidP="007078CD">
      <w:pPr>
        <w:sectPr w:rsidR="007078CD" w:rsidRPr="007078CD" w:rsidSect="001E73C7">
          <w:pgSz w:w="12240" w:h="15840"/>
          <w:pgMar w:top="490" w:right="720" w:bottom="360" w:left="1008" w:header="490" w:footer="720" w:gutter="0"/>
          <w:cols w:space="720"/>
          <w:titlePg/>
          <w:docGrid w:linePitch="360"/>
        </w:sectPr>
      </w:pPr>
    </w:p>
    <w:bookmarkEnd w:id="14"/>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AVISO DE ISENÇÃO DE RESPONSABILIDADE</w:t>
            </w:r>
          </w:p>
          <w:p w14:paraId="46ECB4C1" w14:textId="77777777" w:rsidR="00A64F9A" w:rsidRPr="00A64F9A" w:rsidRDefault="00A64F9A" w:rsidP="00916890">
            <w:pPr>
              <w:rPr>
                <w:sz w:val="20"/>
              </w:rPr>
            </w:pPr>
          </w:p>
          <w:p w14:paraId="01DF1FEB" w14:textId="4D0A2F1C" w:rsidR="00A64F9A" w:rsidRPr="00A64F9A" w:rsidRDefault="00A64F9A" w:rsidP="00916890">
            <w:pPr>
              <w:spacing w:line="276" w:lineRule="auto"/>
              <w:rPr>
                <w:sz w:val="20"/>
              </w:rPr>
            </w:pPr>
            <w:r>
              <w:rPr>
                <w:sz w:val="20"/>
              </w:rPr>
              <w:t>Os artigos, os modelos ou as informações disponibilizados pela Smartsheet no site são apenas para referência. Nós nos esforçamos para manter as informações atualizadas e corretas, mas</w:t>
            </w:r>
            <w:r w:rsidR="00B83D31">
              <w:rPr>
                <w:sz w:val="20"/>
              </w:rPr>
              <w:t> </w:t>
            </w:r>
            <w:r>
              <w:rPr>
                <w:sz w:val="20"/>
              </w:rPr>
              <w:t>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w:t>
            </w:r>
            <w:r w:rsidR="00B83D31">
              <w:rPr>
                <w:sz w:val="20"/>
              </w:rPr>
              <w:t> </w:t>
            </w:r>
            <w:r>
              <w:rPr>
                <w:sz w:val="20"/>
              </w:rPr>
              <w:t>risco.</w:t>
            </w:r>
          </w:p>
        </w:tc>
      </w:tr>
    </w:tbl>
    <w:p w14:paraId="6836341A" w14:textId="77777777" w:rsidR="00A64F9A" w:rsidRPr="00C805C2" w:rsidRDefault="00A64F9A" w:rsidP="00C805C2">
      <w:pPr>
        <w:spacing w:line="240" w:lineRule="auto"/>
        <w:rPr>
          <w:sz w:val="20"/>
          <w:szCs w:val="20"/>
        </w:rPr>
      </w:pPr>
    </w:p>
    <w:sectPr w:rsidR="00A64F9A" w:rsidRPr="00C805C2" w:rsidSect="001E73C7">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23DB" w14:textId="77777777" w:rsidR="00D26F18" w:rsidRDefault="00D26F18" w:rsidP="00480F66">
      <w:pPr>
        <w:spacing w:after="0" w:line="240" w:lineRule="auto"/>
      </w:pPr>
      <w:r>
        <w:separator/>
      </w:r>
    </w:p>
  </w:endnote>
  <w:endnote w:type="continuationSeparator" w:id="0">
    <w:p w14:paraId="3D3912FD" w14:textId="77777777" w:rsidR="00D26F18" w:rsidRDefault="00D26F1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A363" w14:textId="77777777" w:rsidR="00D26F18" w:rsidRDefault="00D26F18" w:rsidP="00480F66">
      <w:pPr>
        <w:spacing w:after="0" w:line="240" w:lineRule="auto"/>
      </w:pPr>
      <w:r>
        <w:separator/>
      </w:r>
    </w:p>
  </w:footnote>
  <w:footnote w:type="continuationSeparator" w:id="0">
    <w:p w14:paraId="09C11927" w14:textId="77777777" w:rsidR="00D26F18" w:rsidRDefault="00D26F18"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B3A9E"/>
    <w:multiLevelType w:val="hybridMultilevel"/>
    <w:tmpl w:val="DC2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5"/>
  </w:num>
  <w:num w:numId="2" w16cid:durableId="1835026855">
    <w:abstractNumId w:val="23"/>
  </w:num>
  <w:num w:numId="3" w16cid:durableId="1128016194">
    <w:abstractNumId w:val="16"/>
  </w:num>
  <w:num w:numId="4" w16cid:durableId="994916782">
    <w:abstractNumId w:val="17"/>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4"/>
  </w:num>
  <w:num w:numId="10" w16cid:durableId="863514606">
    <w:abstractNumId w:val="5"/>
  </w:num>
  <w:num w:numId="11" w16cid:durableId="1917979554">
    <w:abstractNumId w:val="18"/>
  </w:num>
  <w:num w:numId="12" w16cid:durableId="355497595">
    <w:abstractNumId w:val="10"/>
  </w:num>
  <w:num w:numId="13" w16cid:durableId="2132311569">
    <w:abstractNumId w:val="20"/>
  </w:num>
  <w:num w:numId="14" w16cid:durableId="1101072718">
    <w:abstractNumId w:val="4"/>
  </w:num>
  <w:num w:numId="15" w16cid:durableId="439687635">
    <w:abstractNumId w:val="30"/>
  </w:num>
  <w:num w:numId="16" w16cid:durableId="2019116015">
    <w:abstractNumId w:val="1"/>
  </w:num>
  <w:num w:numId="17" w16cid:durableId="1000155551">
    <w:abstractNumId w:val="21"/>
  </w:num>
  <w:num w:numId="18" w16cid:durableId="885530773">
    <w:abstractNumId w:val="12"/>
  </w:num>
  <w:num w:numId="19" w16cid:durableId="1215652358">
    <w:abstractNumId w:val="26"/>
  </w:num>
  <w:num w:numId="20" w16cid:durableId="41826961">
    <w:abstractNumId w:val="13"/>
  </w:num>
  <w:num w:numId="21" w16cid:durableId="1963540141">
    <w:abstractNumId w:val="3"/>
  </w:num>
  <w:num w:numId="22" w16cid:durableId="265694760">
    <w:abstractNumId w:val="28"/>
  </w:num>
  <w:num w:numId="23" w16cid:durableId="1891577278">
    <w:abstractNumId w:val="27"/>
  </w:num>
  <w:num w:numId="24" w16cid:durableId="1361399082">
    <w:abstractNumId w:val="25"/>
  </w:num>
  <w:num w:numId="25" w16cid:durableId="1962806076">
    <w:abstractNumId w:val="29"/>
  </w:num>
  <w:num w:numId="26" w16cid:durableId="2046826287">
    <w:abstractNumId w:val="19"/>
  </w:num>
  <w:num w:numId="27" w16cid:durableId="177668606">
    <w:abstractNumId w:val="0"/>
  </w:num>
  <w:num w:numId="28" w16cid:durableId="1953200029">
    <w:abstractNumId w:val="8"/>
  </w:num>
  <w:num w:numId="29" w16cid:durableId="1620994126">
    <w:abstractNumId w:val="6"/>
  </w:num>
  <w:num w:numId="30" w16cid:durableId="1878814816">
    <w:abstractNumId w:val="22"/>
  </w:num>
  <w:num w:numId="31" w16cid:durableId="1584951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2B3F"/>
    <w:rsid w:val="00053B58"/>
    <w:rsid w:val="000555F6"/>
    <w:rsid w:val="000623DA"/>
    <w:rsid w:val="00063D41"/>
    <w:rsid w:val="0007537F"/>
    <w:rsid w:val="000844EC"/>
    <w:rsid w:val="00084DC6"/>
    <w:rsid w:val="000B7D8A"/>
    <w:rsid w:val="000E13F9"/>
    <w:rsid w:val="000F6E6F"/>
    <w:rsid w:val="00104901"/>
    <w:rsid w:val="00104E3A"/>
    <w:rsid w:val="00107CEA"/>
    <w:rsid w:val="001228CB"/>
    <w:rsid w:val="00123338"/>
    <w:rsid w:val="00124866"/>
    <w:rsid w:val="001269E5"/>
    <w:rsid w:val="0013044C"/>
    <w:rsid w:val="00130D91"/>
    <w:rsid w:val="00143339"/>
    <w:rsid w:val="00144067"/>
    <w:rsid w:val="00180662"/>
    <w:rsid w:val="00184DC6"/>
    <w:rsid w:val="00186202"/>
    <w:rsid w:val="001A6F77"/>
    <w:rsid w:val="001B18BA"/>
    <w:rsid w:val="001C6DA8"/>
    <w:rsid w:val="001D28E1"/>
    <w:rsid w:val="001E73C7"/>
    <w:rsid w:val="001F64FB"/>
    <w:rsid w:val="00207092"/>
    <w:rsid w:val="00211A5A"/>
    <w:rsid w:val="0021346C"/>
    <w:rsid w:val="002148F1"/>
    <w:rsid w:val="00223549"/>
    <w:rsid w:val="002352AF"/>
    <w:rsid w:val="00250EF4"/>
    <w:rsid w:val="00274428"/>
    <w:rsid w:val="0027725D"/>
    <w:rsid w:val="002915CA"/>
    <w:rsid w:val="002A2ECB"/>
    <w:rsid w:val="002A34CB"/>
    <w:rsid w:val="002B385A"/>
    <w:rsid w:val="002B73C5"/>
    <w:rsid w:val="002C2C40"/>
    <w:rsid w:val="002D199F"/>
    <w:rsid w:val="002D2696"/>
    <w:rsid w:val="002D5E3D"/>
    <w:rsid w:val="002D6D20"/>
    <w:rsid w:val="002E065B"/>
    <w:rsid w:val="002E2597"/>
    <w:rsid w:val="002E7B3A"/>
    <w:rsid w:val="002F72EC"/>
    <w:rsid w:val="00301178"/>
    <w:rsid w:val="00306D1F"/>
    <w:rsid w:val="00311AEF"/>
    <w:rsid w:val="003136FB"/>
    <w:rsid w:val="003207B1"/>
    <w:rsid w:val="00331A1D"/>
    <w:rsid w:val="00335259"/>
    <w:rsid w:val="003362B6"/>
    <w:rsid w:val="00341FCC"/>
    <w:rsid w:val="0034680B"/>
    <w:rsid w:val="00361323"/>
    <w:rsid w:val="00397DBE"/>
    <w:rsid w:val="003B08BB"/>
    <w:rsid w:val="003B37F1"/>
    <w:rsid w:val="003B7CB7"/>
    <w:rsid w:val="003B7DD5"/>
    <w:rsid w:val="003C6D5F"/>
    <w:rsid w:val="003C6D62"/>
    <w:rsid w:val="003E6CAC"/>
    <w:rsid w:val="003E79B7"/>
    <w:rsid w:val="003F620A"/>
    <w:rsid w:val="00410E23"/>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2AD8"/>
    <w:rsid w:val="00494038"/>
    <w:rsid w:val="004A0A6F"/>
    <w:rsid w:val="004C1700"/>
    <w:rsid w:val="004C4C80"/>
    <w:rsid w:val="004C4F02"/>
    <w:rsid w:val="004D7361"/>
    <w:rsid w:val="004F428F"/>
    <w:rsid w:val="00517923"/>
    <w:rsid w:val="00517CA8"/>
    <w:rsid w:val="00521F41"/>
    <w:rsid w:val="0052227B"/>
    <w:rsid w:val="005245F7"/>
    <w:rsid w:val="0053041A"/>
    <w:rsid w:val="00541C9F"/>
    <w:rsid w:val="00541D2D"/>
    <w:rsid w:val="0054416B"/>
    <w:rsid w:val="00563D5D"/>
    <w:rsid w:val="00570608"/>
    <w:rsid w:val="00577EF8"/>
    <w:rsid w:val="005A4574"/>
    <w:rsid w:val="005B5994"/>
    <w:rsid w:val="005D0142"/>
    <w:rsid w:val="005F3691"/>
    <w:rsid w:val="00603597"/>
    <w:rsid w:val="00611ECA"/>
    <w:rsid w:val="00613E0B"/>
    <w:rsid w:val="006203E5"/>
    <w:rsid w:val="00621B2C"/>
    <w:rsid w:val="006247FE"/>
    <w:rsid w:val="00632CB7"/>
    <w:rsid w:val="00637FB8"/>
    <w:rsid w:val="0064388D"/>
    <w:rsid w:val="0064485A"/>
    <w:rsid w:val="00647EEB"/>
    <w:rsid w:val="0065357E"/>
    <w:rsid w:val="00656CCF"/>
    <w:rsid w:val="00667375"/>
    <w:rsid w:val="00670FDF"/>
    <w:rsid w:val="00671A46"/>
    <w:rsid w:val="00692B21"/>
    <w:rsid w:val="00696BF6"/>
    <w:rsid w:val="006A0235"/>
    <w:rsid w:val="006A71EF"/>
    <w:rsid w:val="006B1626"/>
    <w:rsid w:val="006B490E"/>
    <w:rsid w:val="006B6751"/>
    <w:rsid w:val="006B6B6E"/>
    <w:rsid w:val="006C5F2C"/>
    <w:rsid w:val="006C6666"/>
    <w:rsid w:val="00700F83"/>
    <w:rsid w:val="00707252"/>
    <w:rsid w:val="007078CD"/>
    <w:rsid w:val="00722999"/>
    <w:rsid w:val="00722E71"/>
    <w:rsid w:val="007257DF"/>
    <w:rsid w:val="00726A4B"/>
    <w:rsid w:val="00744401"/>
    <w:rsid w:val="00745E5E"/>
    <w:rsid w:val="0075005D"/>
    <w:rsid w:val="00756CC3"/>
    <w:rsid w:val="00770091"/>
    <w:rsid w:val="0077063E"/>
    <w:rsid w:val="00772B25"/>
    <w:rsid w:val="00773199"/>
    <w:rsid w:val="00787B6E"/>
    <w:rsid w:val="007906B9"/>
    <w:rsid w:val="007B0441"/>
    <w:rsid w:val="007B67F6"/>
    <w:rsid w:val="007B7C0B"/>
    <w:rsid w:val="007C2D33"/>
    <w:rsid w:val="007E79B5"/>
    <w:rsid w:val="007F0342"/>
    <w:rsid w:val="007F08BF"/>
    <w:rsid w:val="007F1D65"/>
    <w:rsid w:val="007F44A4"/>
    <w:rsid w:val="007F52B0"/>
    <w:rsid w:val="007F6019"/>
    <w:rsid w:val="007F744B"/>
    <w:rsid w:val="00801DF5"/>
    <w:rsid w:val="00802E66"/>
    <w:rsid w:val="00803287"/>
    <w:rsid w:val="008106B4"/>
    <w:rsid w:val="008206C1"/>
    <w:rsid w:val="0084378C"/>
    <w:rsid w:val="008469E6"/>
    <w:rsid w:val="008476E7"/>
    <w:rsid w:val="00865101"/>
    <w:rsid w:val="008669ED"/>
    <w:rsid w:val="008752AF"/>
    <w:rsid w:val="00881D2F"/>
    <w:rsid w:val="00887262"/>
    <w:rsid w:val="008939B0"/>
    <w:rsid w:val="00893C86"/>
    <w:rsid w:val="00897ABF"/>
    <w:rsid w:val="008A097E"/>
    <w:rsid w:val="008A2B06"/>
    <w:rsid w:val="008B519A"/>
    <w:rsid w:val="008B6A71"/>
    <w:rsid w:val="008C2DF3"/>
    <w:rsid w:val="008D0809"/>
    <w:rsid w:val="008D3852"/>
    <w:rsid w:val="008E159E"/>
    <w:rsid w:val="008E319E"/>
    <w:rsid w:val="008E5965"/>
    <w:rsid w:val="008F6507"/>
    <w:rsid w:val="0090624C"/>
    <w:rsid w:val="00906570"/>
    <w:rsid w:val="00916890"/>
    <w:rsid w:val="0091722A"/>
    <w:rsid w:val="00920833"/>
    <w:rsid w:val="0092169A"/>
    <w:rsid w:val="0092297E"/>
    <w:rsid w:val="009323A7"/>
    <w:rsid w:val="00947186"/>
    <w:rsid w:val="009524A2"/>
    <w:rsid w:val="00955D6F"/>
    <w:rsid w:val="009639B4"/>
    <w:rsid w:val="009946F4"/>
    <w:rsid w:val="00995ADC"/>
    <w:rsid w:val="009A114D"/>
    <w:rsid w:val="009A177A"/>
    <w:rsid w:val="009A1AC2"/>
    <w:rsid w:val="009B24E9"/>
    <w:rsid w:val="009B3F85"/>
    <w:rsid w:val="009B4796"/>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75E3F"/>
    <w:rsid w:val="00A837C8"/>
    <w:rsid w:val="00A87F35"/>
    <w:rsid w:val="00A92E03"/>
    <w:rsid w:val="00A93707"/>
    <w:rsid w:val="00AA5BA2"/>
    <w:rsid w:val="00AC0540"/>
    <w:rsid w:val="00AC41EA"/>
    <w:rsid w:val="00AC78FF"/>
    <w:rsid w:val="00AD6304"/>
    <w:rsid w:val="00AE4F63"/>
    <w:rsid w:val="00AF116F"/>
    <w:rsid w:val="00B0143B"/>
    <w:rsid w:val="00B01D8A"/>
    <w:rsid w:val="00B11A9D"/>
    <w:rsid w:val="00B143AC"/>
    <w:rsid w:val="00B14E5B"/>
    <w:rsid w:val="00B41B66"/>
    <w:rsid w:val="00B43B9B"/>
    <w:rsid w:val="00B57A03"/>
    <w:rsid w:val="00B60392"/>
    <w:rsid w:val="00B6295B"/>
    <w:rsid w:val="00B730AE"/>
    <w:rsid w:val="00B83D31"/>
    <w:rsid w:val="00B84C2A"/>
    <w:rsid w:val="00B954B2"/>
    <w:rsid w:val="00BA5524"/>
    <w:rsid w:val="00BC5812"/>
    <w:rsid w:val="00BC6E0F"/>
    <w:rsid w:val="00BE210B"/>
    <w:rsid w:val="00BF08D2"/>
    <w:rsid w:val="00BF39E1"/>
    <w:rsid w:val="00C052F4"/>
    <w:rsid w:val="00C1073A"/>
    <w:rsid w:val="00C21A87"/>
    <w:rsid w:val="00C24B15"/>
    <w:rsid w:val="00C41E1D"/>
    <w:rsid w:val="00C454ED"/>
    <w:rsid w:val="00C4718F"/>
    <w:rsid w:val="00C530A5"/>
    <w:rsid w:val="00C73FC3"/>
    <w:rsid w:val="00C805C2"/>
    <w:rsid w:val="00C92D3E"/>
    <w:rsid w:val="00CA207F"/>
    <w:rsid w:val="00CA5F14"/>
    <w:rsid w:val="00CB0C71"/>
    <w:rsid w:val="00CB693F"/>
    <w:rsid w:val="00CC3423"/>
    <w:rsid w:val="00CD0AD6"/>
    <w:rsid w:val="00CD7C92"/>
    <w:rsid w:val="00CE7155"/>
    <w:rsid w:val="00CF7D4E"/>
    <w:rsid w:val="00D0739B"/>
    <w:rsid w:val="00D0752D"/>
    <w:rsid w:val="00D12629"/>
    <w:rsid w:val="00D15EE8"/>
    <w:rsid w:val="00D26862"/>
    <w:rsid w:val="00D26F18"/>
    <w:rsid w:val="00D4249E"/>
    <w:rsid w:val="00D43FC2"/>
    <w:rsid w:val="00D45F6C"/>
    <w:rsid w:val="00D46F77"/>
    <w:rsid w:val="00D47631"/>
    <w:rsid w:val="00D52DA5"/>
    <w:rsid w:val="00D550C5"/>
    <w:rsid w:val="00D56FC8"/>
    <w:rsid w:val="00D75CFD"/>
    <w:rsid w:val="00D76B31"/>
    <w:rsid w:val="00D81548"/>
    <w:rsid w:val="00D83F85"/>
    <w:rsid w:val="00D87091"/>
    <w:rsid w:val="00D87332"/>
    <w:rsid w:val="00D93AA6"/>
    <w:rsid w:val="00D95479"/>
    <w:rsid w:val="00DC17AA"/>
    <w:rsid w:val="00DF20AF"/>
    <w:rsid w:val="00DF2A41"/>
    <w:rsid w:val="00DF2B42"/>
    <w:rsid w:val="00E03C95"/>
    <w:rsid w:val="00E11F8E"/>
    <w:rsid w:val="00E14F0F"/>
    <w:rsid w:val="00E16FE9"/>
    <w:rsid w:val="00E43AD0"/>
    <w:rsid w:val="00E62E7D"/>
    <w:rsid w:val="00E63191"/>
    <w:rsid w:val="00E8459A"/>
    <w:rsid w:val="00E93EC4"/>
    <w:rsid w:val="00EC119F"/>
    <w:rsid w:val="00ED1A26"/>
    <w:rsid w:val="00F004E2"/>
    <w:rsid w:val="00F05F3A"/>
    <w:rsid w:val="00F13016"/>
    <w:rsid w:val="00F21222"/>
    <w:rsid w:val="00F303EB"/>
    <w:rsid w:val="00F31A79"/>
    <w:rsid w:val="00F4066E"/>
    <w:rsid w:val="00F46CF3"/>
    <w:rsid w:val="00F545C9"/>
    <w:rsid w:val="00F54A95"/>
    <w:rsid w:val="00F60A39"/>
    <w:rsid w:val="00F6130D"/>
    <w:rsid w:val="00F66FE7"/>
    <w:rsid w:val="00F822F5"/>
    <w:rsid w:val="00FA7231"/>
    <w:rsid w:val="00FA7A23"/>
    <w:rsid w:val="00FB3EAF"/>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656CCF"/>
    <w:pPr>
      <w:tabs>
        <w:tab w:val="left" w:pos="440"/>
        <w:tab w:val="right" w:leader="dot" w:pos="10502"/>
      </w:tabs>
      <w:spacing w:after="120" w:line="360" w:lineRule="auto"/>
      <w:contextualSpacing/>
    </w:pPr>
    <w:rPr>
      <w:rFonts w:ascii="Century Gothic" w:hAnsi="Century Gothic" w:cs="Times New Roman (Body CS)"/>
      <w:cap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82096500">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t.smartsheet.com/try-it?trp=5817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15</TotalTime>
  <Pages>7</Pages>
  <Words>924</Words>
  <Characters>4990</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16</cp:revision>
  <cp:lastPrinted>2019-10-23T00:51:00Z</cp:lastPrinted>
  <dcterms:created xsi:type="dcterms:W3CDTF">2024-04-18T20:47:00Z</dcterms:created>
  <dcterms:modified xsi:type="dcterms:W3CDTF">2024-12-12T08:57:00Z</dcterms:modified>
</cp:coreProperties>
</file>