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DDB2" w14:textId="7CC7762E" w:rsidR="00AB771A" w:rsidRDefault="007B2FC1" w:rsidP="00AC5287">
      <w:pPr>
        <w:pStyle w:val="Header"/>
        <w:rPr>
          <w:rFonts w:ascii="Century Gothic" w:hAnsi="Century Gothic" w:cs="Arial"/>
          <w:b/>
          <w:color w:val="595959" w:themeColor="text1" w:themeTint="A6"/>
          <w:sz w:val="44"/>
          <w:szCs w:val="44"/>
        </w:rPr>
      </w:pPr>
      <w:r>
        <w:rPr>
          <w:b/>
          <w:bCs/>
          <w:noProof/>
          <w:color w:val="000000" w:themeColor="text1"/>
          <w:sz w:val="50"/>
          <w:szCs w:val="50"/>
        </w:rPr>
        <w:drawing>
          <wp:anchor distT="0" distB="0" distL="114300" distR="114300" simplePos="0" relativeHeight="251659264" behindDoc="0" locked="0" layoutInCell="1" allowOverlap="1" wp14:anchorId="070AD840" wp14:editId="339A90E3">
            <wp:simplePos x="0" y="0"/>
            <wp:positionH relativeFrom="column">
              <wp:posOffset>4659464</wp:posOffset>
            </wp:positionH>
            <wp:positionV relativeFrom="paragraph">
              <wp:posOffset>0</wp:posOffset>
            </wp:positionV>
            <wp:extent cx="2171700" cy="431800"/>
            <wp:effectExtent l="0" t="0" r="0" b="6350"/>
            <wp:wrapNone/>
            <wp:docPr id="143540516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431800"/>
                    </a:xfrm>
                    <a:prstGeom prst="rect">
                      <a:avLst/>
                    </a:prstGeom>
                  </pic:spPr>
                </pic:pic>
              </a:graphicData>
            </a:graphic>
          </wp:anchor>
        </w:drawing>
      </w:r>
      <w:r w:rsidR="00AB771A">
        <w:rPr>
          <w:rFonts w:ascii="Century Gothic" w:hAnsi="Century Gothic"/>
          <w:b/>
          <w:color w:val="595959" w:themeColor="text1" w:themeTint="A6"/>
          <w:sz w:val="44"/>
        </w:rPr>
        <w:t xml:space="preserve">EXEMPLO DE MODELO DE PLANO </w:t>
      </w:r>
      <w:r w:rsidR="007457BD">
        <w:rPr>
          <w:rFonts w:ascii="Century Gothic" w:eastAsia="DengXian" w:hAnsi="Century Gothic"/>
          <w:b/>
          <w:color w:val="595959" w:themeColor="text1" w:themeTint="A6"/>
          <w:sz w:val="44"/>
          <w:lang w:eastAsia="zh-CN"/>
        </w:rPr>
        <w:br/>
      </w:r>
      <w:r w:rsidR="00AB771A">
        <w:rPr>
          <w:rFonts w:ascii="Century Gothic" w:hAnsi="Century Gothic"/>
          <w:b/>
          <w:color w:val="595959" w:themeColor="text1" w:themeTint="A6"/>
          <w:sz w:val="44"/>
        </w:rPr>
        <w:t xml:space="preserve">ESTRATÉGICO DE NEGÓCIOS DE </w:t>
      </w:r>
      <w:r w:rsidR="007457BD">
        <w:rPr>
          <w:rFonts w:ascii="Century Gothic" w:eastAsia="DengXian" w:hAnsi="Century Gothic"/>
          <w:b/>
          <w:color w:val="595959" w:themeColor="text1" w:themeTint="A6"/>
          <w:sz w:val="44"/>
          <w:lang w:eastAsia="zh-CN"/>
        </w:rPr>
        <w:br/>
      </w:r>
      <w:r w:rsidR="00AB771A">
        <w:rPr>
          <w:rFonts w:ascii="Century Gothic" w:hAnsi="Century Gothic"/>
          <w:b/>
          <w:color w:val="595959" w:themeColor="text1" w:themeTint="A6"/>
          <w:sz w:val="44"/>
        </w:rPr>
        <w:t>UMA PÁGINA para Microsoft Word</w:t>
      </w:r>
    </w:p>
    <w:p w14:paraId="616AC4A3" w14:textId="77777777" w:rsidR="00AB771A" w:rsidRPr="00AB771A" w:rsidRDefault="00AB771A" w:rsidP="00AC5287">
      <w:pPr>
        <w:pStyle w:val="Header"/>
        <w:rPr>
          <w:rFonts w:ascii="Century Gothic" w:hAnsi="Century Gothic" w:cs="Arial"/>
          <w:b/>
          <w:color w:val="595959" w:themeColor="text1" w:themeTint="A6"/>
          <w:sz w:val="16"/>
          <w:szCs w:val="16"/>
        </w:rPr>
      </w:pPr>
    </w:p>
    <w:p w14:paraId="591A1F97" w14:textId="7CD58740" w:rsidR="00AB771A" w:rsidRDefault="006F1A78" w:rsidP="00AC5287">
      <w:pPr>
        <w:pStyle w:val="Header"/>
        <w:rPr>
          <w:rFonts w:ascii="Century Gothic" w:hAnsi="Century Gothic" w:cs="Arial"/>
          <w:color w:val="000000"/>
          <w:sz w:val="20"/>
          <w:szCs w:val="20"/>
        </w:rPr>
      </w:pPr>
      <w:r>
        <w:rPr>
          <w:rFonts w:ascii="Century Gothic" w:hAnsi="Century Gothic"/>
          <w:color w:val="000000"/>
          <w:sz w:val="20"/>
        </w:rPr>
        <w:t>A seguir, está uma visão geral clara e estratégica da Positive Charge, orientando a direção da empresa e mostrando os planos de crescimento e inovação no setor de carregamento e logística de veículos elétricos.</w:t>
      </w:r>
    </w:p>
    <w:p w14:paraId="05735E50" w14:textId="77777777" w:rsidR="006F1A78" w:rsidRPr="00AB771A" w:rsidRDefault="006F1A78" w:rsidP="00AC5287">
      <w:pPr>
        <w:pStyle w:val="Header"/>
        <w:rPr>
          <w:rFonts w:ascii="Century Gothic" w:hAnsi="Century Gothic" w:cs="Arial"/>
          <w:b/>
          <w:color w:val="595959" w:themeColor="text1" w:themeTint="A6"/>
        </w:rPr>
      </w:pPr>
    </w:p>
    <w:tbl>
      <w:tblPr>
        <w:tblStyle w:val="TableGrid"/>
        <w:tblW w:w="0" w:type="auto"/>
        <w:tblLook w:val="04A0" w:firstRow="1" w:lastRow="0" w:firstColumn="1" w:lastColumn="0" w:noHBand="0" w:noVBand="1"/>
      </w:tblPr>
      <w:tblGrid>
        <w:gridCol w:w="715"/>
        <w:gridCol w:w="2700"/>
        <w:gridCol w:w="7375"/>
      </w:tblGrid>
      <w:tr w:rsidR="00AB771A" w14:paraId="0C6A184A" w14:textId="77777777" w:rsidTr="002F57EE">
        <w:trPr>
          <w:trHeight w:val="1008"/>
        </w:trPr>
        <w:tc>
          <w:tcPr>
            <w:tcW w:w="715" w:type="dxa"/>
            <w:shd w:val="clear" w:color="auto" w:fill="E2E23A"/>
            <w:vAlign w:val="center"/>
          </w:tcPr>
          <w:p w14:paraId="718D2AD9" w14:textId="57C75DA9"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1</w:t>
            </w:r>
          </w:p>
        </w:tc>
        <w:tc>
          <w:tcPr>
            <w:tcW w:w="2700" w:type="dxa"/>
            <w:shd w:val="clear" w:color="auto" w:fill="FAF9D3"/>
            <w:vAlign w:val="center"/>
          </w:tcPr>
          <w:p w14:paraId="4FB1BFC4" w14:textId="77A6350A"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DECLARAÇÃO DA VISÃO</w:t>
            </w:r>
          </w:p>
        </w:tc>
        <w:tc>
          <w:tcPr>
            <w:tcW w:w="7375" w:type="dxa"/>
            <w:vAlign w:val="center"/>
          </w:tcPr>
          <w:p w14:paraId="7116A2A2" w14:textId="2F599F17" w:rsidR="00AB771A" w:rsidRPr="007457BD" w:rsidRDefault="006F1A78">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Ser o principal fornecedor de soluções inovadoras e sustentáveis de carregamento de veículos elétricos, revolucionando o transporte e a logística para um planeta mais verde até 20XX.</w:t>
            </w:r>
          </w:p>
        </w:tc>
      </w:tr>
      <w:tr w:rsidR="00AB771A" w14:paraId="6E1C1F6F" w14:textId="77777777" w:rsidTr="002F57EE">
        <w:trPr>
          <w:trHeight w:val="1008"/>
        </w:trPr>
        <w:tc>
          <w:tcPr>
            <w:tcW w:w="715" w:type="dxa"/>
            <w:shd w:val="clear" w:color="auto" w:fill="E2E23A"/>
            <w:vAlign w:val="center"/>
          </w:tcPr>
          <w:p w14:paraId="5D32970A" w14:textId="16610EAA"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2</w:t>
            </w:r>
          </w:p>
        </w:tc>
        <w:tc>
          <w:tcPr>
            <w:tcW w:w="2700" w:type="dxa"/>
            <w:shd w:val="clear" w:color="auto" w:fill="FAF9D3"/>
            <w:vAlign w:val="center"/>
          </w:tcPr>
          <w:p w14:paraId="78D93166" w14:textId="7C457EC6"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DECLARAÇÃO DA MISSÃO</w:t>
            </w:r>
          </w:p>
        </w:tc>
        <w:tc>
          <w:tcPr>
            <w:tcW w:w="7375" w:type="dxa"/>
            <w:vAlign w:val="center"/>
          </w:tcPr>
          <w:p w14:paraId="3F48FCEE" w14:textId="0F83D26E" w:rsidR="00AB771A" w:rsidRPr="007457BD" w:rsidRDefault="00EE6A02">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A Positive Charge oferece infraestrutura de carregamento de veículos elétricos de ponta e suporte logístico, com foco na sustentabilidade, eficiência e serviço excepcional que capacitam a transição para a mobilidade elétrica.</w:t>
            </w:r>
          </w:p>
        </w:tc>
      </w:tr>
      <w:tr w:rsidR="00AB771A" w14:paraId="3481DB5B" w14:textId="77777777" w:rsidTr="002F57EE">
        <w:trPr>
          <w:trHeight w:val="1008"/>
        </w:trPr>
        <w:tc>
          <w:tcPr>
            <w:tcW w:w="715" w:type="dxa"/>
            <w:shd w:val="clear" w:color="auto" w:fill="E2E23A"/>
            <w:vAlign w:val="center"/>
          </w:tcPr>
          <w:p w14:paraId="0DBFB471" w14:textId="247C434F"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3</w:t>
            </w:r>
          </w:p>
        </w:tc>
        <w:tc>
          <w:tcPr>
            <w:tcW w:w="2700" w:type="dxa"/>
            <w:shd w:val="clear" w:color="auto" w:fill="FAF9D3"/>
            <w:vAlign w:val="center"/>
          </w:tcPr>
          <w:p w14:paraId="0E7A0841" w14:textId="346DEB85"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PRINCIPAIS VALORES</w:t>
            </w:r>
          </w:p>
        </w:tc>
        <w:tc>
          <w:tcPr>
            <w:tcW w:w="7375" w:type="dxa"/>
            <w:vAlign w:val="center"/>
          </w:tcPr>
          <w:p w14:paraId="7A9B57BD" w14:textId="7ED759F9" w:rsidR="00AB771A" w:rsidRPr="007457BD" w:rsidRDefault="00EE6A02">
            <w:pPr>
              <w:rPr>
                <w:rFonts w:ascii="Century Gothic" w:hAnsi="Century Gothic" w:cs="Arial"/>
                <w:bCs/>
                <w:color w:val="595959" w:themeColor="text1" w:themeTint="A6"/>
                <w:sz w:val="18"/>
                <w:szCs w:val="22"/>
              </w:rPr>
            </w:pPr>
            <w:r w:rsidRPr="007457BD">
              <w:rPr>
                <w:rFonts w:ascii="Century Gothic" w:hAnsi="Century Gothic"/>
                <w:b/>
                <w:color w:val="595959" w:themeColor="text1" w:themeTint="A6"/>
                <w:sz w:val="18"/>
                <w:szCs w:val="22"/>
              </w:rPr>
              <w:t>Inovação</w:t>
            </w:r>
            <w:r w:rsidRPr="007457BD">
              <w:rPr>
                <w:rFonts w:ascii="Century Gothic" w:hAnsi="Century Gothic"/>
                <w:bCs/>
                <w:color w:val="595959" w:themeColor="text1" w:themeTint="A6"/>
                <w:sz w:val="18"/>
                <w:szCs w:val="22"/>
              </w:rPr>
              <w:t xml:space="preserve">, </w:t>
            </w:r>
            <w:r w:rsidRPr="007457BD">
              <w:rPr>
                <w:rFonts w:ascii="Century Gothic" w:hAnsi="Century Gothic"/>
                <w:b/>
                <w:color w:val="595959" w:themeColor="text1" w:themeTint="A6"/>
                <w:sz w:val="18"/>
                <w:szCs w:val="22"/>
              </w:rPr>
              <w:t>sustentabilidade</w:t>
            </w:r>
            <w:r w:rsidRPr="007457BD">
              <w:rPr>
                <w:rFonts w:ascii="Century Gothic" w:hAnsi="Century Gothic"/>
                <w:bCs/>
                <w:color w:val="595959" w:themeColor="text1" w:themeTint="A6"/>
                <w:sz w:val="18"/>
                <w:szCs w:val="22"/>
              </w:rPr>
              <w:t xml:space="preserve">, </w:t>
            </w:r>
            <w:r w:rsidRPr="007457BD">
              <w:rPr>
                <w:rFonts w:ascii="Century Gothic" w:hAnsi="Century Gothic"/>
                <w:b/>
                <w:color w:val="595959" w:themeColor="text1" w:themeTint="A6"/>
                <w:sz w:val="18"/>
                <w:szCs w:val="22"/>
              </w:rPr>
              <w:t>foco no cliente</w:t>
            </w:r>
            <w:r w:rsidRPr="007457BD">
              <w:rPr>
                <w:rFonts w:ascii="Century Gothic" w:hAnsi="Century Gothic"/>
                <w:bCs/>
                <w:color w:val="595959" w:themeColor="text1" w:themeTint="A6"/>
                <w:sz w:val="18"/>
                <w:szCs w:val="22"/>
              </w:rPr>
              <w:t xml:space="preserve">, </w:t>
            </w:r>
            <w:r w:rsidRPr="007457BD">
              <w:rPr>
                <w:rFonts w:ascii="Century Gothic" w:hAnsi="Century Gothic"/>
                <w:b/>
                <w:color w:val="595959" w:themeColor="text1" w:themeTint="A6"/>
                <w:sz w:val="18"/>
                <w:szCs w:val="22"/>
              </w:rPr>
              <w:t>integridade</w:t>
            </w:r>
            <w:r w:rsidRPr="007457BD">
              <w:rPr>
                <w:rFonts w:ascii="Century Gothic" w:hAnsi="Century Gothic"/>
                <w:bCs/>
                <w:color w:val="595959" w:themeColor="text1" w:themeTint="A6"/>
                <w:sz w:val="18"/>
                <w:szCs w:val="22"/>
              </w:rPr>
              <w:t xml:space="preserve"> e </w:t>
            </w:r>
            <w:r w:rsidRPr="007457BD">
              <w:rPr>
                <w:rFonts w:ascii="Century Gothic" w:hAnsi="Century Gothic"/>
                <w:b/>
                <w:color w:val="595959" w:themeColor="text1" w:themeTint="A6"/>
                <w:sz w:val="18"/>
                <w:szCs w:val="22"/>
              </w:rPr>
              <w:t>trabalho em equipe</w:t>
            </w:r>
            <w:r w:rsidRPr="007457BD">
              <w:rPr>
                <w:rFonts w:ascii="Century Gothic" w:hAnsi="Century Gothic"/>
                <w:color w:val="595959" w:themeColor="text1" w:themeTint="A6"/>
                <w:sz w:val="18"/>
                <w:szCs w:val="22"/>
              </w:rPr>
              <w:t xml:space="preserve"> nos levam a superar as expectativas e liderar o setor de carregamento de veículos elétricos.</w:t>
            </w:r>
          </w:p>
        </w:tc>
      </w:tr>
      <w:tr w:rsidR="00AB771A" w14:paraId="35A1BA44" w14:textId="77777777" w:rsidTr="002F57EE">
        <w:trPr>
          <w:trHeight w:val="1008"/>
        </w:trPr>
        <w:tc>
          <w:tcPr>
            <w:tcW w:w="715" w:type="dxa"/>
            <w:shd w:val="clear" w:color="auto" w:fill="E2E23A"/>
            <w:vAlign w:val="center"/>
          </w:tcPr>
          <w:p w14:paraId="42115EB9" w14:textId="4E2F0657"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4</w:t>
            </w:r>
          </w:p>
        </w:tc>
        <w:tc>
          <w:tcPr>
            <w:tcW w:w="2700" w:type="dxa"/>
            <w:shd w:val="clear" w:color="auto" w:fill="FAF9D3"/>
            <w:vAlign w:val="center"/>
          </w:tcPr>
          <w:p w14:paraId="2F6BBC7E" w14:textId="6C59159C"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ANÁLISE SWOT</w:t>
            </w:r>
          </w:p>
        </w:tc>
        <w:tc>
          <w:tcPr>
            <w:tcW w:w="7375" w:type="dxa"/>
            <w:vAlign w:val="center"/>
          </w:tcPr>
          <w:p w14:paraId="6394DA35" w14:textId="46FE7607" w:rsidR="00E75CF6" w:rsidRPr="007457BD" w:rsidRDefault="00E75CF6" w:rsidP="00E75CF6">
            <w:pPr>
              <w:rPr>
                <w:rFonts w:ascii="Century Gothic" w:hAnsi="Century Gothic" w:cs="Arial"/>
                <w:bCs/>
                <w:color w:val="595959" w:themeColor="text1" w:themeTint="A6"/>
                <w:sz w:val="18"/>
                <w:szCs w:val="22"/>
              </w:rPr>
            </w:pPr>
            <w:r w:rsidRPr="007457BD">
              <w:rPr>
                <w:rFonts w:ascii="Century Gothic" w:hAnsi="Century Gothic"/>
                <w:b/>
                <w:color w:val="595959" w:themeColor="text1" w:themeTint="A6"/>
                <w:sz w:val="18"/>
                <w:szCs w:val="22"/>
              </w:rPr>
              <w:t>Pontos fortes</w:t>
            </w:r>
            <w:r w:rsidRPr="007457BD">
              <w:rPr>
                <w:rFonts w:ascii="Century Gothic" w:hAnsi="Century Gothic"/>
                <w:color w:val="595959" w:themeColor="text1" w:themeTint="A6"/>
                <w:sz w:val="18"/>
                <w:szCs w:val="22"/>
              </w:rPr>
              <w:t>: tecnologia avançada em carregamento de veículos elétricos e fortes parcerias com empresas de logística.</w:t>
            </w:r>
          </w:p>
          <w:p w14:paraId="60840DBA" w14:textId="1F5762B6" w:rsidR="00E75CF6" w:rsidRPr="007457BD" w:rsidRDefault="00E75CF6" w:rsidP="00E75CF6">
            <w:pPr>
              <w:rPr>
                <w:rFonts w:ascii="Century Gothic" w:hAnsi="Century Gothic" w:cs="Arial"/>
                <w:bCs/>
                <w:color w:val="595959" w:themeColor="text1" w:themeTint="A6"/>
                <w:sz w:val="18"/>
                <w:szCs w:val="22"/>
              </w:rPr>
            </w:pPr>
            <w:r w:rsidRPr="007457BD">
              <w:rPr>
                <w:rFonts w:ascii="Century Gothic" w:hAnsi="Century Gothic"/>
                <w:b/>
                <w:color w:val="595959" w:themeColor="text1" w:themeTint="A6"/>
                <w:sz w:val="18"/>
                <w:szCs w:val="22"/>
              </w:rPr>
              <w:t>Pontos fracos</w:t>
            </w:r>
            <w:r w:rsidRPr="007457BD">
              <w:rPr>
                <w:rFonts w:ascii="Century Gothic" w:hAnsi="Century Gothic"/>
                <w:color w:val="595959" w:themeColor="text1" w:themeTint="A6"/>
                <w:sz w:val="18"/>
                <w:szCs w:val="22"/>
              </w:rPr>
              <w:t>: altos custos iniciais de configuração e cobertura limitada em áreas rurais.</w:t>
            </w:r>
          </w:p>
          <w:p w14:paraId="450F76AE" w14:textId="1056C595" w:rsidR="00E75CF6" w:rsidRPr="007457BD" w:rsidRDefault="00E75CF6" w:rsidP="00E75CF6">
            <w:pPr>
              <w:rPr>
                <w:rFonts w:ascii="Century Gothic" w:hAnsi="Century Gothic" w:cs="Arial"/>
                <w:bCs/>
                <w:color w:val="595959" w:themeColor="text1" w:themeTint="A6"/>
                <w:sz w:val="18"/>
                <w:szCs w:val="22"/>
              </w:rPr>
            </w:pPr>
            <w:r w:rsidRPr="007457BD">
              <w:rPr>
                <w:rFonts w:ascii="Century Gothic" w:hAnsi="Century Gothic"/>
                <w:b/>
                <w:color w:val="595959" w:themeColor="text1" w:themeTint="A6"/>
                <w:sz w:val="18"/>
                <w:szCs w:val="22"/>
              </w:rPr>
              <w:t>Oportunidades</w:t>
            </w:r>
            <w:r w:rsidRPr="007457BD">
              <w:rPr>
                <w:rFonts w:ascii="Century Gothic" w:hAnsi="Century Gothic"/>
                <w:color w:val="595959" w:themeColor="text1" w:themeTint="A6"/>
                <w:sz w:val="18"/>
                <w:szCs w:val="22"/>
              </w:rPr>
              <w:t>: demanda crescente por veículos elétricos e incentivos governamentais para energia verde.</w:t>
            </w:r>
          </w:p>
          <w:p w14:paraId="532B0D15" w14:textId="35E10E17" w:rsidR="00AB771A" w:rsidRPr="007457BD" w:rsidRDefault="00E75CF6" w:rsidP="00E75CF6">
            <w:pPr>
              <w:rPr>
                <w:rFonts w:ascii="Century Gothic" w:hAnsi="Century Gothic" w:cs="Arial"/>
                <w:bCs/>
                <w:color w:val="595959" w:themeColor="text1" w:themeTint="A6"/>
                <w:sz w:val="18"/>
                <w:szCs w:val="22"/>
              </w:rPr>
            </w:pPr>
            <w:r w:rsidRPr="007457BD">
              <w:rPr>
                <w:rFonts w:ascii="Century Gothic" w:hAnsi="Century Gothic"/>
                <w:b/>
                <w:color w:val="595959" w:themeColor="text1" w:themeTint="A6"/>
                <w:sz w:val="18"/>
                <w:szCs w:val="22"/>
              </w:rPr>
              <w:t>Ameaças</w:t>
            </w:r>
            <w:r w:rsidRPr="007457BD">
              <w:rPr>
                <w:rFonts w:ascii="Century Gothic" w:hAnsi="Century Gothic"/>
                <w:color w:val="595959" w:themeColor="text1" w:themeTint="A6"/>
                <w:sz w:val="18"/>
                <w:szCs w:val="22"/>
              </w:rPr>
              <w:t>: concorrência intensa e obsolescência tecnológica.</w:t>
            </w:r>
          </w:p>
        </w:tc>
      </w:tr>
      <w:tr w:rsidR="00AB771A" w14:paraId="25998D68" w14:textId="77777777" w:rsidTr="007457BD">
        <w:trPr>
          <w:trHeight w:val="971"/>
        </w:trPr>
        <w:tc>
          <w:tcPr>
            <w:tcW w:w="715" w:type="dxa"/>
            <w:shd w:val="clear" w:color="auto" w:fill="E2E23A"/>
            <w:vAlign w:val="center"/>
          </w:tcPr>
          <w:p w14:paraId="24A86186" w14:textId="7D130CDF"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5</w:t>
            </w:r>
          </w:p>
        </w:tc>
        <w:tc>
          <w:tcPr>
            <w:tcW w:w="2700" w:type="dxa"/>
            <w:shd w:val="clear" w:color="auto" w:fill="FAF9D3"/>
            <w:vAlign w:val="center"/>
          </w:tcPr>
          <w:p w14:paraId="6AB221DA" w14:textId="6318304F"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OBJETIVOS ESTRATÉGICOS</w:t>
            </w:r>
          </w:p>
        </w:tc>
        <w:tc>
          <w:tcPr>
            <w:tcW w:w="7375" w:type="dxa"/>
            <w:vAlign w:val="center"/>
          </w:tcPr>
          <w:p w14:paraId="4EC98FAC" w14:textId="427D07E5" w:rsidR="00AB771A" w:rsidRPr="007457BD" w:rsidRDefault="00E75CF6">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Expandir nossa rede de carregamento de veículos elétricos em 50% em áreas urbanas e estabelecer 20 novas parcerias estratégicas com empresas de logística até 20XX.</w:t>
            </w:r>
          </w:p>
        </w:tc>
      </w:tr>
      <w:tr w:rsidR="00AB771A" w14:paraId="72D68918" w14:textId="77777777" w:rsidTr="007457BD">
        <w:trPr>
          <w:trHeight w:val="890"/>
        </w:trPr>
        <w:tc>
          <w:tcPr>
            <w:tcW w:w="715" w:type="dxa"/>
            <w:shd w:val="clear" w:color="auto" w:fill="E2E23A"/>
            <w:vAlign w:val="center"/>
          </w:tcPr>
          <w:p w14:paraId="47EED185" w14:textId="5EE1BBF9"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6</w:t>
            </w:r>
          </w:p>
        </w:tc>
        <w:tc>
          <w:tcPr>
            <w:tcW w:w="2700" w:type="dxa"/>
            <w:shd w:val="clear" w:color="auto" w:fill="FAF9D3"/>
            <w:vAlign w:val="center"/>
          </w:tcPr>
          <w:p w14:paraId="2FE8C03F" w14:textId="3DEF741D"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PRINCIPAIS ESTRATÉGIAS</w:t>
            </w:r>
          </w:p>
        </w:tc>
        <w:tc>
          <w:tcPr>
            <w:tcW w:w="7375" w:type="dxa"/>
            <w:vAlign w:val="center"/>
          </w:tcPr>
          <w:p w14:paraId="0F23FE11" w14:textId="01BB80E5" w:rsidR="00AB771A" w:rsidRPr="007457BD" w:rsidRDefault="00E936FD">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Investir em tecnologia de carregamento de ponta; utilizar a lógica analítica de dados para otimização logística; e melhorar o engajamento do cliente por meio de plataformas digitais.</w:t>
            </w:r>
          </w:p>
        </w:tc>
      </w:tr>
      <w:tr w:rsidR="00AB771A" w14:paraId="12845004" w14:textId="77777777" w:rsidTr="007457BD">
        <w:trPr>
          <w:trHeight w:val="890"/>
        </w:trPr>
        <w:tc>
          <w:tcPr>
            <w:tcW w:w="715" w:type="dxa"/>
            <w:shd w:val="clear" w:color="auto" w:fill="E2E23A"/>
            <w:vAlign w:val="center"/>
          </w:tcPr>
          <w:p w14:paraId="2B566364" w14:textId="14F52E21"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7</w:t>
            </w:r>
          </w:p>
        </w:tc>
        <w:tc>
          <w:tcPr>
            <w:tcW w:w="2700" w:type="dxa"/>
            <w:shd w:val="clear" w:color="auto" w:fill="FAF9D3"/>
            <w:vAlign w:val="center"/>
          </w:tcPr>
          <w:p w14:paraId="2C2FCEF8" w14:textId="27FC6A2A"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PLANOS DE AÇÃO</w:t>
            </w:r>
          </w:p>
        </w:tc>
        <w:tc>
          <w:tcPr>
            <w:tcW w:w="7375" w:type="dxa"/>
            <w:vAlign w:val="center"/>
          </w:tcPr>
          <w:p w14:paraId="35A72646" w14:textId="19962884" w:rsidR="00E936FD" w:rsidRPr="007457BD" w:rsidRDefault="00E936FD" w:rsidP="00E936FD">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Implementar 100 novas estações de carregamento rápido em locais urbanos importantes até o terceiro trimestre de 20XX.</w:t>
            </w:r>
          </w:p>
          <w:p w14:paraId="4123B930" w14:textId="13B27652" w:rsidR="00AB771A" w:rsidRPr="007457BD" w:rsidRDefault="00E936FD" w:rsidP="00E936FD">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Desenvolver um programa de parceria para empresas de logística até o primeiro trimestre de 20XX.</w:t>
            </w:r>
          </w:p>
        </w:tc>
      </w:tr>
      <w:tr w:rsidR="00AB771A" w14:paraId="387CE506" w14:textId="77777777" w:rsidTr="007457BD">
        <w:trPr>
          <w:trHeight w:val="1160"/>
        </w:trPr>
        <w:tc>
          <w:tcPr>
            <w:tcW w:w="715" w:type="dxa"/>
            <w:shd w:val="clear" w:color="auto" w:fill="E2E23A"/>
            <w:vAlign w:val="center"/>
          </w:tcPr>
          <w:p w14:paraId="78FE5A4E" w14:textId="1CF76655"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8</w:t>
            </w:r>
          </w:p>
        </w:tc>
        <w:tc>
          <w:tcPr>
            <w:tcW w:w="2700" w:type="dxa"/>
            <w:shd w:val="clear" w:color="auto" w:fill="FAF9D3"/>
            <w:vAlign w:val="center"/>
          </w:tcPr>
          <w:p w14:paraId="50DB4CA9" w14:textId="18A0DA75"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INDICADORES-CHAVE DE DESEMPENHO (KPIs)</w:t>
            </w:r>
          </w:p>
        </w:tc>
        <w:tc>
          <w:tcPr>
            <w:tcW w:w="7375" w:type="dxa"/>
            <w:vAlign w:val="center"/>
          </w:tcPr>
          <w:p w14:paraId="0818BFA5" w14:textId="529B001E" w:rsidR="00AB771A" w:rsidRPr="007457BD" w:rsidRDefault="00DB2926">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Aumento de 40% na utilização das estações, aumento de 25% em parceiros de empresa de logística e aumento de 30% nas pontuações de satisfação do cliente até 20XX.</w:t>
            </w:r>
          </w:p>
        </w:tc>
      </w:tr>
      <w:tr w:rsidR="00AB771A" w14:paraId="5FBCDD87" w14:textId="77777777" w:rsidTr="007457BD">
        <w:trPr>
          <w:trHeight w:val="890"/>
        </w:trPr>
        <w:tc>
          <w:tcPr>
            <w:tcW w:w="715" w:type="dxa"/>
            <w:shd w:val="clear" w:color="auto" w:fill="E2E23A"/>
            <w:vAlign w:val="center"/>
          </w:tcPr>
          <w:p w14:paraId="2A6AE6FB" w14:textId="5A1D8326"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9</w:t>
            </w:r>
          </w:p>
        </w:tc>
        <w:tc>
          <w:tcPr>
            <w:tcW w:w="2700" w:type="dxa"/>
            <w:shd w:val="clear" w:color="auto" w:fill="FAF9D3"/>
            <w:vAlign w:val="center"/>
          </w:tcPr>
          <w:p w14:paraId="622BEFD1" w14:textId="29BCC5D2"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PROJEÇÕES FINANCEIRAS</w:t>
            </w:r>
          </w:p>
        </w:tc>
        <w:tc>
          <w:tcPr>
            <w:tcW w:w="7375" w:type="dxa"/>
            <w:vAlign w:val="center"/>
          </w:tcPr>
          <w:p w14:paraId="4A9C0D73" w14:textId="2DB8FD63" w:rsidR="00AB771A" w:rsidRPr="007457BD" w:rsidRDefault="008B4BF2">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Projetamos um aumento de 35% na receita por meio de expansão estratégica e parcerias, mantendo uma margem de lucro líquido de 20% até 20XX.</w:t>
            </w:r>
          </w:p>
        </w:tc>
      </w:tr>
      <w:tr w:rsidR="00AB771A" w14:paraId="5A61FA1E" w14:textId="77777777" w:rsidTr="007457BD">
        <w:trPr>
          <w:trHeight w:val="980"/>
        </w:trPr>
        <w:tc>
          <w:tcPr>
            <w:tcW w:w="715" w:type="dxa"/>
            <w:shd w:val="clear" w:color="auto" w:fill="E2E23A"/>
            <w:vAlign w:val="center"/>
          </w:tcPr>
          <w:p w14:paraId="6B8B5B55" w14:textId="7BC56A52"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10</w:t>
            </w:r>
          </w:p>
        </w:tc>
        <w:tc>
          <w:tcPr>
            <w:tcW w:w="2700" w:type="dxa"/>
            <w:shd w:val="clear" w:color="auto" w:fill="FAF9D3"/>
            <w:vAlign w:val="center"/>
          </w:tcPr>
          <w:p w14:paraId="5C3BBD2B" w14:textId="47FDC689"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MERCADOS-ALVO</w:t>
            </w:r>
          </w:p>
        </w:tc>
        <w:tc>
          <w:tcPr>
            <w:tcW w:w="7375" w:type="dxa"/>
            <w:vAlign w:val="center"/>
          </w:tcPr>
          <w:p w14:paraId="7AD50D09" w14:textId="7A5376CC" w:rsidR="00AB771A" w:rsidRPr="007457BD" w:rsidRDefault="0097468C">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Profissionais urbanos e empresas nas principais cidades que buscam soluções confiáveis e rápidas de carregamento de veículos elétricos e serviços de logística ecológicos.</w:t>
            </w:r>
          </w:p>
        </w:tc>
      </w:tr>
      <w:tr w:rsidR="00AB771A" w14:paraId="5FE107B4" w14:textId="77777777" w:rsidTr="002F57EE">
        <w:trPr>
          <w:trHeight w:val="1008"/>
        </w:trPr>
        <w:tc>
          <w:tcPr>
            <w:tcW w:w="715" w:type="dxa"/>
            <w:shd w:val="clear" w:color="auto" w:fill="E2E23A"/>
            <w:vAlign w:val="center"/>
          </w:tcPr>
          <w:p w14:paraId="7BC547CE" w14:textId="3954EB9B"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11</w:t>
            </w:r>
          </w:p>
        </w:tc>
        <w:tc>
          <w:tcPr>
            <w:tcW w:w="2700" w:type="dxa"/>
            <w:shd w:val="clear" w:color="auto" w:fill="FAF9D3"/>
            <w:vAlign w:val="center"/>
          </w:tcPr>
          <w:p w14:paraId="5A60B427" w14:textId="688CF2B1" w:rsidR="00AB771A" w:rsidRPr="007457BD" w:rsidRDefault="00AB771A">
            <w:pPr>
              <w:rPr>
                <w:rFonts w:ascii="Century Gothic" w:hAnsi="Century Gothic" w:cs="Arial"/>
                <w:bCs/>
                <w:color w:val="595959" w:themeColor="text1" w:themeTint="A6"/>
                <w:szCs w:val="22"/>
              </w:rPr>
            </w:pPr>
            <w:r w:rsidRPr="007457BD">
              <w:rPr>
                <w:rFonts w:ascii="Century Gothic" w:hAnsi="Century Gothic"/>
                <w:color w:val="595959" w:themeColor="text1" w:themeTint="A6"/>
                <w:szCs w:val="22"/>
              </w:rPr>
              <w:t>VANTAGEM COMPETITIVA</w:t>
            </w:r>
          </w:p>
        </w:tc>
        <w:tc>
          <w:tcPr>
            <w:tcW w:w="7375" w:type="dxa"/>
            <w:vAlign w:val="center"/>
          </w:tcPr>
          <w:p w14:paraId="4AEC21FF" w14:textId="1E683DA3" w:rsidR="00AB771A" w:rsidRPr="007457BD" w:rsidRDefault="00FC354C">
            <w:pPr>
              <w:rPr>
                <w:rFonts w:ascii="Century Gothic" w:hAnsi="Century Gothic" w:cs="Arial"/>
                <w:bCs/>
                <w:color w:val="595959" w:themeColor="text1" w:themeTint="A6"/>
                <w:sz w:val="18"/>
                <w:szCs w:val="22"/>
              </w:rPr>
            </w:pPr>
            <w:r w:rsidRPr="007457BD">
              <w:rPr>
                <w:rFonts w:ascii="Century Gothic" w:hAnsi="Century Gothic"/>
                <w:color w:val="595959" w:themeColor="text1" w:themeTint="A6"/>
                <w:sz w:val="18"/>
                <w:szCs w:val="22"/>
              </w:rPr>
              <w:t>Nossa combinação exclusiva entre tecnologia avançada de carregamento rápido e suporte logístico integrado diferencia a Positive Charge, oferecendo conveniência e eficiência incomparáveis para usuários e empresas de veículos elétricos urbanos.</w:t>
            </w:r>
          </w:p>
        </w:tc>
      </w:tr>
    </w:tbl>
    <w:p w14:paraId="3F4B0064" w14:textId="26A8056D" w:rsidR="00AB771A" w:rsidRDefault="00AB771A">
      <w:pPr>
        <w:rPr>
          <w:rFonts w:ascii="Century Gothic" w:hAnsi="Century Gothic" w:cs="Arial"/>
          <w:b/>
          <w:color w:val="A6A6A6" w:themeColor="background1" w:themeShade="A6"/>
          <w:sz w:val="44"/>
          <w:szCs w:val="44"/>
        </w:rPr>
      </w:pPr>
    </w:p>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692C04">
        <w:trPr>
          <w:trHeight w:val="2687"/>
        </w:trPr>
        <w:tc>
          <w:tcPr>
            <w:tcW w:w="10669" w:type="dxa"/>
          </w:tcPr>
          <w:p w14:paraId="18C6AA7B"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t>AVISO DE ISENÇÃO DE RESPONSABILIDADE</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800D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143F" w14:textId="77777777" w:rsidR="00484D29" w:rsidRDefault="00484D29" w:rsidP="00B01A05">
      <w:r>
        <w:separator/>
      </w:r>
    </w:p>
  </w:endnote>
  <w:endnote w:type="continuationSeparator" w:id="0">
    <w:p w14:paraId="07B27B25" w14:textId="77777777" w:rsidR="00484D29" w:rsidRDefault="00484D29"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B9346" w14:textId="77777777" w:rsidR="00484D29" w:rsidRDefault="00484D29" w:rsidP="00B01A05">
      <w:r>
        <w:separator/>
      </w:r>
    </w:p>
  </w:footnote>
  <w:footnote w:type="continuationSeparator" w:id="0">
    <w:p w14:paraId="0423A4FD" w14:textId="77777777" w:rsidR="00484D29" w:rsidRDefault="00484D29"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6"/>
  </w:num>
  <w:num w:numId="2" w16cid:durableId="1127819093">
    <w:abstractNumId w:val="19"/>
  </w:num>
  <w:num w:numId="3" w16cid:durableId="950012417">
    <w:abstractNumId w:val="12"/>
  </w:num>
  <w:num w:numId="4" w16cid:durableId="1153720554">
    <w:abstractNumId w:val="22"/>
  </w:num>
  <w:num w:numId="5" w16cid:durableId="175272434">
    <w:abstractNumId w:val="29"/>
  </w:num>
  <w:num w:numId="6" w16cid:durableId="554008328">
    <w:abstractNumId w:val="5"/>
  </w:num>
  <w:num w:numId="7" w16cid:durableId="581791282">
    <w:abstractNumId w:val="14"/>
  </w:num>
  <w:num w:numId="8" w16cid:durableId="1243103372">
    <w:abstractNumId w:val="3"/>
  </w:num>
  <w:num w:numId="9" w16cid:durableId="86967304">
    <w:abstractNumId w:val="27"/>
  </w:num>
  <w:num w:numId="10" w16cid:durableId="240215351">
    <w:abstractNumId w:val="1"/>
  </w:num>
  <w:num w:numId="11" w16cid:durableId="1898860675">
    <w:abstractNumId w:val="26"/>
  </w:num>
  <w:num w:numId="12" w16cid:durableId="1066146112">
    <w:abstractNumId w:val="28"/>
    <w:lvlOverride w:ilvl="0">
      <w:lvl w:ilvl="0">
        <w:numFmt w:val="upperRoman"/>
        <w:lvlText w:val="%1."/>
        <w:lvlJc w:val="right"/>
      </w:lvl>
    </w:lvlOverride>
  </w:num>
  <w:num w:numId="13" w16cid:durableId="1765687501">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3"/>
  </w:num>
  <w:num w:numId="15" w16cid:durableId="841701362">
    <w:abstractNumId w:val="6"/>
  </w:num>
  <w:num w:numId="16" w16cid:durableId="2013947494">
    <w:abstractNumId w:val="7"/>
  </w:num>
  <w:num w:numId="17" w16cid:durableId="394859089">
    <w:abstractNumId w:val="7"/>
  </w:num>
  <w:num w:numId="18" w16cid:durableId="2098478832">
    <w:abstractNumId w:val="11"/>
  </w:num>
  <w:num w:numId="19" w16cid:durableId="1332945760">
    <w:abstractNumId w:val="25"/>
  </w:num>
  <w:num w:numId="20" w16cid:durableId="1198852583">
    <w:abstractNumId w:val="30"/>
  </w:num>
  <w:num w:numId="21" w16cid:durableId="910311966">
    <w:abstractNumId w:val="9"/>
  </w:num>
  <w:num w:numId="22" w16cid:durableId="1917396455">
    <w:abstractNumId w:val="9"/>
  </w:num>
  <w:num w:numId="23" w16cid:durableId="1540823245">
    <w:abstractNumId w:val="15"/>
  </w:num>
  <w:num w:numId="24" w16cid:durableId="834413496">
    <w:abstractNumId w:val="15"/>
  </w:num>
  <w:num w:numId="25" w16cid:durableId="1288387096">
    <w:abstractNumId w:val="13"/>
  </w:num>
  <w:num w:numId="26" w16cid:durableId="1235624384">
    <w:abstractNumId w:val="13"/>
  </w:num>
  <w:num w:numId="27" w16cid:durableId="975835628">
    <w:abstractNumId w:val="8"/>
  </w:num>
  <w:num w:numId="28" w16cid:durableId="1623415530">
    <w:abstractNumId w:val="17"/>
  </w:num>
  <w:num w:numId="29" w16cid:durableId="1999845085">
    <w:abstractNumId w:val="24"/>
  </w:num>
  <w:num w:numId="30" w16cid:durableId="436218804">
    <w:abstractNumId w:val="24"/>
  </w:num>
  <w:num w:numId="31" w16cid:durableId="1155685251">
    <w:abstractNumId w:val="2"/>
  </w:num>
  <w:num w:numId="32" w16cid:durableId="1524124628">
    <w:abstractNumId w:val="18"/>
  </w:num>
  <w:num w:numId="33" w16cid:durableId="401374216">
    <w:abstractNumId w:val="18"/>
  </w:num>
  <w:num w:numId="34" w16cid:durableId="790321270">
    <w:abstractNumId w:val="10"/>
  </w:num>
  <w:num w:numId="35" w16cid:durableId="174613140">
    <w:abstractNumId w:val="4"/>
  </w:num>
  <w:num w:numId="36" w16cid:durableId="344939668">
    <w:abstractNumId w:val="21"/>
  </w:num>
  <w:num w:numId="37" w16cid:durableId="385106992">
    <w:abstractNumId w:val="20"/>
  </w:num>
  <w:num w:numId="38" w16cid:durableId="143825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3993"/>
    <w:rsid w:val="00044BBF"/>
    <w:rsid w:val="00055227"/>
    <w:rsid w:val="0007196B"/>
    <w:rsid w:val="00074389"/>
    <w:rsid w:val="000809A7"/>
    <w:rsid w:val="000A7AEF"/>
    <w:rsid w:val="000B31AF"/>
    <w:rsid w:val="000C1664"/>
    <w:rsid w:val="000C2B36"/>
    <w:rsid w:val="000C5AA8"/>
    <w:rsid w:val="000D7167"/>
    <w:rsid w:val="0014046B"/>
    <w:rsid w:val="001405DC"/>
    <w:rsid w:val="001433AA"/>
    <w:rsid w:val="0014454F"/>
    <w:rsid w:val="00165819"/>
    <w:rsid w:val="0016761D"/>
    <w:rsid w:val="001756F3"/>
    <w:rsid w:val="0018387F"/>
    <w:rsid w:val="0019557F"/>
    <w:rsid w:val="001977AD"/>
    <w:rsid w:val="001B40AD"/>
    <w:rsid w:val="001D0184"/>
    <w:rsid w:val="001F2768"/>
    <w:rsid w:val="001F69A7"/>
    <w:rsid w:val="002050AC"/>
    <w:rsid w:val="00213767"/>
    <w:rsid w:val="002200FE"/>
    <w:rsid w:val="00243542"/>
    <w:rsid w:val="00244C0D"/>
    <w:rsid w:val="00285971"/>
    <w:rsid w:val="002B44C0"/>
    <w:rsid w:val="002D4552"/>
    <w:rsid w:val="002F57EE"/>
    <w:rsid w:val="003566B4"/>
    <w:rsid w:val="00384D8F"/>
    <w:rsid w:val="00385F26"/>
    <w:rsid w:val="003923C6"/>
    <w:rsid w:val="003939B2"/>
    <w:rsid w:val="003A5B09"/>
    <w:rsid w:val="003C0DBC"/>
    <w:rsid w:val="003C7519"/>
    <w:rsid w:val="003F7C1A"/>
    <w:rsid w:val="00404144"/>
    <w:rsid w:val="00413DC8"/>
    <w:rsid w:val="00464788"/>
    <w:rsid w:val="00484D29"/>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20C4"/>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841E8"/>
    <w:rsid w:val="00691D73"/>
    <w:rsid w:val="00692C04"/>
    <w:rsid w:val="006C6A0C"/>
    <w:rsid w:val="006E625E"/>
    <w:rsid w:val="006F1A78"/>
    <w:rsid w:val="006F5384"/>
    <w:rsid w:val="00702DDD"/>
    <w:rsid w:val="00716677"/>
    <w:rsid w:val="00717895"/>
    <w:rsid w:val="007457BD"/>
    <w:rsid w:val="00750BF6"/>
    <w:rsid w:val="00761512"/>
    <w:rsid w:val="00762989"/>
    <w:rsid w:val="00763525"/>
    <w:rsid w:val="00781CE1"/>
    <w:rsid w:val="007B2FC1"/>
    <w:rsid w:val="007F70A6"/>
    <w:rsid w:val="00800D2A"/>
    <w:rsid w:val="00811B86"/>
    <w:rsid w:val="0081333F"/>
    <w:rsid w:val="00817DB4"/>
    <w:rsid w:val="00840CF7"/>
    <w:rsid w:val="0086192E"/>
    <w:rsid w:val="008A5C9F"/>
    <w:rsid w:val="008B4BF2"/>
    <w:rsid w:val="008D181F"/>
    <w:rsid w:val="008D1E28"/>
    <w:rsid w:val="008D3809"/>
    <w:rsid w:val="008D4662"/>
    <w:rsid w:val="008E3A9E"/>
    <w:rsid w:val="008F30DF"/>
    <w:rsid w:val="009014B6"/>
    <w:rsid w:val="0091097D"/>
    <w:rsid w:val="009168B2"/>
    <w:rsid w:val="00937B38"/>
    <w:rsid w:val="0097468C"/>
    <w:rsid w:val="009A6136"/>
    <w:rsid w:val="009B354D"/>
    <w:rsid w:val="009D1EDB"/>
    <w:rsid w:val="009E0257"/>
    <w:rsid w:val="009E63D7"/>
    <w:rsid w:val="00A008FD"/>
    <w:rsid w:val="00A044D5"/>
    <w:rsid w:val="00A16323"/>
    <w:rsid w:val="00A1634E"/>
    <w:rsid w:val="00A17074"/>
    <w:rsid w:val="00A40022"/>
    <w:rsid w:val="00A5039D"/>
    <w:rsid w:val="00A77BCB"/>
    <w:rsid w:val="00AA2BE9"/>
    <w:rsid w:val="00AA5317"/>
    <w:rsid w:val="00AB30F3"/>
    <w:rsid w:val="00AB771A"/>
    <w:rsid w:val="00AC1FED"/>
    <w:rsid w:val="00AC5287"/>
    <w:rsid w:val="00AF39FF"/>
    <w:rsid w:val="00AF6008"/>
    <w:rsid w:val="00B01A05"/>
    <w:rsid w:val="00B300F4"/>
    <w:rsid w:val="00B40948"/>
    <w:rsid w:val="00B50C12"/>
    <w:rsid w:val="00B622FB"/>
    <w:rsid w:val="00B753BF"/>
    <w:rsid w:val="00B90509"/>
    <w:rsid w:val="00BB0C36"/>
    <w:rsid w:val="00BC6821"/>
    <w:rsid w:val="00BF3DE2"/>
    <w:rsid w:val="00BF7662"/>
    <w:rsid w:val="00C44DFA"/>
    <w:rsid w:val="00C45C77"/>
    <w:rsid w:val="00C739B9"/>
    <w:rsid w:val="00C74202"/>
    <w:rsid w:val="00C77741"/>
    <w:rsid w:val="00C80620"/>
    <w:rsid w:val="00CA64DD"/>
    <w:rsid w:val="00CF53DC"/>
    <w:rsid w:val="00D20D28"/>
    <w:rsid w:val="00D3383E"/>
    <w:rsid w:val="00D404D2"/>
    <w:rsid w:val="00D75350"/>
    <w:rsid w:val="00D82800"/>
    <w:rsid w:val="00DB2926"/>
    <w:rsid w:val="00DE6C8B"/>
    <w:rsid w:val="00DE75B0"/>
    <w:rsid w:val="00DF00E4"/>
    <w:rsid w:val="00DF2717"/>
    <w:rsid w:val="00E26AB8"/>
    <w:rsid w:val="00E75CF6"/>
    <w:rsid w:val="00E75D3C"/>
    <w:rsid w:val="00E8526C"/>
    <w:rsid w:val="00E936FD"/>
    <w:rsid w:val="00EB6A86"/>
    <w:rsid w:val="00EE6A02"/>
    <w:rsid w:val="00F157D7"/>
    <w:rsid w:val="00F17080"/>
    <w:rsid w:val="00F36F1D"/>
    <w:rsid w:val="00F54105"/>
    <w:rsid w:val="00F54EB7"/>
    <w:rsid w:val="00F60F1B"/>
    <w:rsid w:val="00F918B4"/>
    <w:rsid w:val="00FB42FA"/>
    <w:rsid w:val="00FB7A35"/>
    <w:rsid w:val="00FC3406"/>
    <w:rsid w:val="00FC354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ref2-IC-One-Page-Business-Plan-Template-10787_WORD.dotx</Template>
  <TotalTime>9</TotalTime>
  <Pages>2</Pages>
  <Words>527</Words>
  <Characters>2846</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Hansen Han （韩辉）</cp:lastModifiedBy>
  <cp:revision>7</cp:revision>
  <cp:lastPrinted>2017-09-15T13:54:00Z</cp:lastPrinted>
  <dcterms:created xsi:type="dcterms:W3CDTF">2024-03-22T19:32:00Z</dcterms:created>
  <dcterms:modified xsi:type="dcterms:W3CDTF">2024-11-23T10:05:00Z</dcterms:modified>
</cp:coreProperties>
</file>