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8F6A3D" w14:textId="24AC0825" w:rsidR="001A794F" w:rsidRPr="001A794F" w:rsidRDefault="001A794F" w:rsidP="001A794F">
      <w:pPr>
        <w:spacing w:after="0" w:line="240" w:lineRule="auto"/>
        <w:rPr>
          <w:rFonts w:ascii="Century Gothic" w:eastAsia="Times New Roman" w:hAnsi="Century Gothic" w:cs="Times New Roman"/>
          <w:b/>
          <w:bCs/>
          <w:color w:val="001033"/>
          <w:sz w:val="48"/>
          <w:szCs w:val="48"/>
        </w:rPr>
      </w:pPr>
      <w:r w:rsidRPr="001A794F">
        <w:rPr>
          <w:rFonts w:ascii="Century Gothic" w:hAnsi="Century Gothic"/>
          <w:b/>
          <w:bCs/>
          <w:noProof/>
          <w:color w:val="595959"/>
          <w:sz w:val="48"/>
          <w:szCs w:val="48"/>
        </w:rPr>
        <w:drawing>
          <wp:anchor distT="0" distB="0" distL="114300" distR="114300" simplePos="0" relativeHeight="251659264" behindDoc="0" locked="0" layoutInCell="1" allowOverlap="1" wp14:anchorId="41F7FC10" wp14:editId="172C9710">
            <wp:simplePos x="0" y="0"/>
            <wp:positionH relativeFrom="margin">
              <wp:align>right</wp:align>
            </wp:positionH>
            <wp:positionV relativeFrom="paragraph">
              <wp:posOffset>-4445</wp:posOffset>
            </wp:positionV>
            <wp:extent cx="2656276" cy="528320"/>
            <wp:effectExtent l="0" t="0" r="0" b="5080"/>
            <wp:wrapNone/>
            <wp:docPr id="1"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656276" cy="52832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color w:val="001033"/>
          <w:sz w:val="48"/>
        </w:rPr>
        <w:t xml:space="preserve">Modelo de matriz de escalonamento </w:t>
      </w:r>
      <w:r w:rsidR="00A6315D">
        <w:rPr>
          <w:rFonts w:ascii="Century Gothic" w:hAnsi="Century Gothic"/>
          <w:b/>
          <w:color w:val="001033"/>
          <w:sz w:val="48"/>
        </w:rPr>
        <w:br/>
      </w:r>
      <w:r>
        <w:rPr>
          <w:rFonts w:ascii="Century Gothic" w:hAnsi="Century Gothic"/>
          <w:b/>
          <w:color w:val="001033"/>
          <w:sz w:val="48"/>
        </w:rPr>
        <w:t>de serviços de saúde</w:t>
      </w:r>
    </w:p>
    <w:p w14:paraId="35EB73C9" w14:textId="77777777" w:rsidR="001A794F" w:rsidRPr="001A794F" w:rsidRDefault="001A794F" w:rsidP="001A794F">
      <w:pPr>
        <w:spacing w:after="0" w:line="240" w:lineRule="auto"/>
        <w:rPr>
          <w:rFonts w:ascii="Century Gothic" w:eastAsia="Times New Roman" w:hAnsi="Century Gothic" w:cs="Times New Roman"/>
          <w:color w:val="001033"/>
          <w:sz w:val="18"/>
          <w:szCs w:val="18"/>
        </w:rPr>
      </w:pPr>
    </w:p>
    <w:p w14:paraId="24C5C6C1" w14:textId="77777777" w:rsidR="001A794F" w:rsidRPr="001A794F" w:rsidRDefault="001A794F" w:rsidP="001A794F">
      <w:pPr>
        <w:spacing w:after="0" w:line="240" w:lineRule="auto"/>
        <w:rPr>
          <w:rFonts w:ascii="Century Gothic" w:eastAsia="Times New Roman" w:hAnsi="Century Gothic" w:cs="Times New Roman"/>
          <w:color w:val="595959"/>
          <w:sz w:val="14"/>
          <w:szCs w:val="14"/>
        </w:rPr>
      </w:pPr>
    </w:p>
    <w:tbl>
      <w:tblPr>
        <w:tblW w:w="14395" w:type="dxa"/>
        <w:tblLook w:val="04A0" w:firstRow="1" w:lastRow="0" w:firstColumn="1" w:lastColumn="0" w:noHBand="0" w:noVBand="1"/>
      </w:tblPr>
      <w:tblGrid>
        <w:gridCol w:w="3325"/>
        <w:gridCol w:w="3600"/>
        <w:gridCol w:w="3690"/>
        <w:gridCol w:w="3780"/>
      </w:tblGrid>
      <w:tr w:rsidR="001A794F" w:rsidRPr="001A794F" w14:paraId="699C2F11" w14:textId="77777777" w:rsidTr="000B6635">
        <w:trPr>
          <w:trHeight w:val="503"/>
        </w:trPr>
        <w:tc>
          <w:tcPr>
            <w:tcW w:w="3325" w:type="dxa"/>
            <w:tcBorders>
              <w:top w:val="single" w:sz="4" w:space="0" w:color="808080"/>
              <w:left w:val="single" w:sz="4" w:space="0" w:color="808080"/>
              <w:bottom w:val="nil"/>
              <w:right w:val="single" w:sz="4" w:space="0" w:color="808080"/>
            </w:tcBorders>
            <w:shd w:val="clear" w:color="000000" w:fill="FF5353"/>
            <w:vAlign w:val="center"/>
            <w:hideMark/>
          </w:tcPr>
          <w:p w14:paraId="5266A0B2" w14:textId="77777777" w:rsidR="001A794F" w:rsidRPr="001A794F" w:rsidRDefault="001A794F" w:rsidP="000B6635">
            <w:pPr>
              <w:spacing w:after="0" w:line="240" w:lineRule="auto"/>
              <w:jc w:val="center"/>
              <w:rPr>
                <w:rFonts w:ascii="Century Gothic" w:eastAsia="Times New Roman" w:hAnsi="Century Gothic" w:cs="Calibri"/>
                <w:color w:val="FFFFFF"/>
                <w:sz w:val="24"/>
                <w:szCs w:val="24"/>
              </w:rPr>
            </w:pPr>
            <w:r>
              <w:rPr>
                <w:rFonts w:ascii="Century Gothic" w:hAnsi="Century Gothic"/>
                <w:color w:val="FFFFFF"/>
                <w:sz w:val="24"/>
              </w:rPr>
              <w:t> </w:t>
            </w:r>
            <w:r w:rsidRPr="001A794F">
              <w:rPr>
                <w:rFonts w:ascii="Century Gothic" w:hAnsi="Century Gothic"/>
                <w:noProof/>
                <w:color w:val="FFFFFF"/>
                <w:sz w:val="24"/>
                <w:szCs w:val="24"/>
              </w:rPr>
              <w:drawing>
                <wp:inline distT="0" distB="0" distL="0" distR="0" wp14:anchorId="1685C5F5" wp14:editId="2508005A">
                  <wp:extent cx="457200" cy="457200"/>
                  <wp:effectExtent l="0" t="0" r="0" b="0"/>
                  <wp:docPr id="1654784658" name="Graphic 3727" descr="Stethoscope with solid fill">
                    <a:extLst xmlns:a="http://schemas.openxmlformats.org/drawingml/2006/main">
                      <a:ext uri="{FF2B5EF4-FFF2-40B4-BE49-F238E27FC236}">
                        <a16:creationId xmlns:a16="http://schemas.microsoft.com/office/drawing/2014/main" id="{92D5B94C-A95E-0AB2-7891-45FBC938E4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784658" name="Graphic 3727" descr="Stethoscope with solid fill">
                            <a:extLst>
                              <a:ext uri="{FF2B5EF4-FFF2-40B4-BE49-F238E27FC236}">
                                <a16:creationId xmlns:a16="http://schemas.microsoft.com/office/drawing/2014/main" id="{92D5B94C-A95E-0AB2-7891-45FBC938E430}"/>
                              </a:ext>
                            </a:extLst>
                          </pic:cNvPr>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57200" cy="457200"/>
                          </a:xfrm>
                          <a:prstGeom prst="rect">
                            <a:avLst/>
                          </a:prstGeom>
                        </pic:spPr>
                      </pic:pic>
                    </a:graphicData>
                  </a:graphic>
                </wp:inline>
              </w:drawing>
            </w:r>
          </w:p>
        </w:tc>
        <w:tc>
          <w:tcPr>
            <w:tcW w:w="3600" w:type="dxa"/>
            <w:tcBorders>
              <w:top w:val="single" w:sz="4" w:space="0" w:color="808080"/>
              <w:left w:val="nil"/>
              <w:bottom w:val="nil"/>
              <w:right w:val="single" w:sz="4" w:space="0" w:color="808080"/>
            </w:tcBorders>
            <w:shd w:val="clear" w:color="000000" w:fill="0070C0"/>
            <w:vAlign w:val="center"/>
            <w:hideMark/>
          </w:tcPr>
          <w:p w14:paraId="462FAA8D" w14:textId="77777777" w:rsidR="001A794F" w:rsidRPr="001A794F" w:rsidRDefault="001A794F" w:rsidP="000B6635">
            <w:pPr>
              <w:spacing w:after="0" w:line="240" w:lineRule="auto"/>
              <w:jc w:val="center"/>
              <w:rPr>
                <w:rFonts w:ascii="Century Gothic" w:eastAsia="Times New Roman" w:hAnsi="Century Gothic" w:cs="Calibri"/>
                <w:color w:val="000000"/>
                <w:sz w:val="24"/>
                <w:szCs w:val="24"/>
              </w:rPr>
            </w:pPr>
            <w:r w:rsidRPr="001A794F">
              <w:rPr>
                <w:rFonts w:ascii="Century Gothic" w:hAnsi="Century Gothic"/>
                <w:noProof/>
                <w:color w:val="000000"/>
                <w:sz w:val="24"/>
                <w:szCs w:val="24"/>
              </w:rPr>
              <w:drawing>
                <wp:inline distT="0" distB="0" distL="0" distR="0" wp14:anchorId="3F0246F3" wp14:editId="5568B257">
                  <wp:extent cx="459557" cy="457200"/>
                  <wp:effectExtent l="0" t="0" r="0" b="0"/>
                  <wp:docPr id="3728" name="Graphic 3727" descr="Warning with solid fill">
                    <a:extLst xmlns:a="http://schemas.openxmlformats.org/drawingml/2006/main">
                      <a:ext uri="{FF2B5EF4-FFF2-40B4-BE49-F238E27FC236}">
                        <a16:creationId xmlns:a16="http://schemas.microsoft.com/office/drawing/2014/main" id="{92D5B94C-A95E-0AB2-7891-45FBC938E4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8" name="Graphic 3727" descr="Warning with solid fill">
                            <a:extLst>
                              <a:ext uri="{FF2B5EF4-FFF2-40B4-BE49-F238E27FC236}">
                                <a16:creationId xmlns:a16="http://schemas.microsoft.com/office/drawing/2014/main" id="{92D5B94C-A95E-0AB2-7891-45FBC938E430}"/>
                              </a:ext>
                            </a:extLst>
                          </pic:cNvPr>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459557" cy="457200"/>
                          </a:xfrm>
                          <a:prstGeom prst="rect">
                            <a:avLst/>
                          </a:prstGeom>
                        </pic:spPr>
                      </pic:pic>
                    </a:graphicData>
                  </a:graphic>
                </wp:inline>
              </w:drawing>
            </w:r>
            <w:r>
              <w:rPr>
                <w:rFonts w:ascii="Century Gothic" w:hAnsi="Century Gothic"/>
                <w:color w:val="000000"/>
                <w:sz w:val="24"/>
              </w:rPr>
              <w:t> </w:t>
            </w:r>
          </w:p>
        </w:tc>
        <w:tc>
          <w:tcPr>
            <w:tcW w:w="3690" w:type="dxa"/>
            <w:tcBorders>
              <w:top w:val="single" w:sz="4" w:space="0" w:color="808080"/>
              <w:left w:val="nil"/>
              <w:bottom w:val="nil"/>
              <w:right w:val="single" w:sz="4" w:space="0" w:color="808080"/>
            </w:tcBorders>
            <w:shd w:val="clear" w:color="000000" w:fill="ED7D31"/>
            <w:vAlign w:val="center"/>
            <w:hideMark/>
          </w:tcPr>
          <w:p w14:paraId="2DAEAD8E" w14:textId="77777777" w:rsidR="001A794F" w:rsidRPr="001A794F" w:rsidRDefault="001A794F" w:rsidP="000B6635">
            <w:pPr>
              <w:spacing w:after="0" w:line="240" w:lineRule="auto"/>
              <w:jc w:val="center"/>
              <w:rPr>
                <w:rFonts w:ascii="Century Gothic" w:eastAsia="Times New Roman" w:hAnsi="Century Gothic" w:cs="Calibri"/>
                <w:b/>
                <w:bCs/>
                <w:color w:val="000000"/>
              </w:rPr>
            </w:pPr>
            <w:r>
              <w:rPr>
                <w:rFonts w:ascii="Century Gothic" w:hAnsi="Century Gothic"/>
                <w:b/>
                <w:color w:val="000000"/>
              </w:rPr>
              <w:t> </w:t>
            </w:r>
            <w:r w:rsidRPr="001A794F">
              <w:rPr>
                <w:rFonts w:ascii="Century Gothic" w:hAnsi="Century Gothic"/>
                <w:b/>
                <w:bCs/>
                <w:noProof/>
                <w:color w:val="000000"/>
              </w:rPr>
              <w:drawing>
                <wp:inline distT="0" distB="0" distL="0" distR="0" wp14:anchorId="2C8E9A2F" wp14:editId="75BDCA19">
                  <wp:extent cx="452739" cy="457200"/>
                  <wp:effectExtent l="0" t="0" r="0" b="0"/>
                  <wp:docPr id="3724" name="Graphic 3723" descr="Checklist with solid fill">
                    <a:extLst xmlns:a="http://schemas.openxmlformats.org/drawingml/2006/main">
                      <a:ext uri="{FF2B5EF4-FFF2-40B4-BE49-F238E27FC236}">
                        <a16:creationId xmlns:a16="http://schemas.microsoft.com/office/drawing/2014/main" id="{70FC53EC-3EDF-4F0B-7604-ABDE5FEA0A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4" name="Graphic 3723" descr="Checklist with solid fill">
                            <a:extLst>
                              <a:ext uri="{FF2B5EF4-FFF2-40B4-BE49-F238E27FC236}">
                                <a16:creationId xmlns:a16="http://schemas.microsoft.com/office/drawing/2014/main" id="{70FC53EC-3EDF-4F0B-7604-ABDE5FEA0A6A}"/>
                              </a:ext>
                            </a:extLst>
                          </pic:cNvPr>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452739" cy="457200"/>
                          </a:xfrm>
                          <a:prstGeom prst="rect">
                            <a:avLst/>
                          </a:prstGeom>
                        </pic:spPr>
                      </pic:pic>
                    </a:graphicData>
                  </a:graphic>
                </wp:inline>
              </w:drawing>
            </w:r>
          </w:p>
        </w:tc>
        <w:tc>
          <w:tcPr>
            <w:tcW w:w="3780" w:type="dxa"/>
            <w:tcBorders>
              <w:top w:val="single" w:sz="4" w:space="0" w:color="808080"/>
              <w:left w:val="nil"/>
              <w:bottom w:val="nil"/>
              <w:right w:val="single" w:sz="4" w:space="0" w:color="808080"/>
            </w:tcBorders>
            <w:shd w:val="clear" w:color="000000" w:fill="00A4C0"/>
            <w:vAlign w:val="center"/>
            <w:hideMark/>
          </w:tcPr>
          <w:p w14:paraId="2144DB42" w14:textId="77777777" w:rsidR="001A794F" w:rsidRPr="001A794F" w:rsidRDefault="001A794F" w:rsidP="000B6635">
            <w:pPr>
              <w:spacing w:after="0" w:line="240" w:lineRule="auto"/>
              <w:jc w:val="center"/>
              <w:rPr>
                <w:rFonts w:ascii="Century Gothic" w:eastAsia="Times New Roman" w:hAnsi="Century Gothic" w:cs="Calibri"/>
                <w:b/>
                <w:bCs/>
                <w:color w:val="000000"/>
              </w:rPr>
            </w:pPr>
            <w:r w:rsidRPr="001A794F">
              <w:rPr>
                <w:rFonts w:ascii="Century Gothic" w:hAnsi="Century Gothic"/>
                <w:b/>
                <w:bCs/>
                <w:noProof/>
                <w:color w:val="000000"/>
              </w:rPr>
              <w:drawing>
                <wp:inline distT="0" distB="0" distL="0" distR="0" wp14:anchorId="0CFF16CC" wp14:editId="311A5160">
                  <wp:extent cx="458965" cy="457200"/>
                  <wp:effectExtent l="0" t="0" r="0" b="0"/>
                  <wp:docPr id="3726" name="Graphic 3725" descr="Users with solid fill">
                    <a:extLst xmlns:a="http://schemas.openxmlformats.org/drawingml/2006/main">
                      <a:ext uri="{FF2B5EF4-FFF2-40B4-BE49-F238E27FC236}">
                        <a16:creationId xmlns:a16="http://schemas.microsoft.com/office/drawing/2014/main" id="{7FE386DA-1412-8A38-7D12-DF8241A21F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6" name="Graphic 3725" descr="Users with solid fill">
                            <a:extLst>
                              <a:ext uri="{FF2B5EF4-FFF2-40B4-BE49-F238E27FC236}">
                                <a16:creationId xmlns:a16="http://schemas.microsoft.com/office/drawing/2014/main" id="{7FE386DA-1412-8A38-7D12-DF8241A21F5A}"/>
                              </a:ext>
                            </a:extLst>
                          </pic:cNvPr>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458965" cy="457200"/>
                          </a:xfrm>
                          <a:prstGeom prst="rect">
                            <a:avLst/>
                          </a:prstGeom>
                        </pic:spPr>
                      </pic:pic>
                    </a:graphicData>
                  </a:graphic>
                </wp:inline>
              </w:drawing>
            </w:r>
            <w:r>
              <w:rPr>
                <w:rFonts w:ascii="Century Gothic" w:hAnsi="Century Gothic"/>
                <w:b/>
                <w:color w:val="000000"/>
              </w:rPr>
              <w:t> </w:t>
            </w:r>
          </w:p>
        </w:tc>
      </w:tr>
      <w:tr w:rsidR="001A794F" w:rsidRPr="001A794F" w14:paraId="6BF0CCA2" w14:textId="77777777" w:rsidTr="000B6635">
        <w:trPr>
          <w:trHeight w:val="420"/>
        </w:trPr>
        <w:tc>
          <w:tcPr>
            <w:tcW w:w="3325" w:type="dxa"/>
            <w:tcBorders>
              <w:top w:val="nil"/>
              <w:left w:val="single" w:sz="4" w:space="0" w:color="808080"/>
              <w:bottom w:val="nil"/>
              <w:right w:val="single" w:sz="4" w:space="0" w:color="808080"/>
            </w:tcBorders>
            <w:shd w:val="clear" w:color="000000" w:fill="FF5353"/>
            <w:hideMark/>
          </w:tcPr>
          <w:p w14:paraId="27C692F1" w14:textId="77777777" w:rsidR="001A794F" w:rsidRPr="001A794F" w:rsidRDefault="001A794F" w:rsidP="000B6635">
            <w:pPr>
              <w:spacing w:after="0" w:line="240" w:lineRule="auto"/>
              <w:jc w:val="center"/>
              <w:rPr>
                <w:rFonts w:ascii="Century Gothic" w:eastAsia="Times New Roman" w:hAnsi="Century Gothic" w:cs="Calibri"/>
                <w:b/>
                <w:bCs/>
                <w:color w:val="FFFFFF"/>
                <w:sz w:val="24"/>
                <w:szCs w:val="24"/>
              </w:rPr>
            </w:pPr>
            <w:r>
              <w:rPr>
                <w:rFonts w:ascii="Century Gothic" w:hAnsi="Century Gothic"/>
                <w:b/>
                <w:color w:val="FFFFFF"/>
                <w:sz w:val="24"/>
              </w:rPr>
              <w:t>Problema</w:t>
            </w:r>
          </w:p>
        </w:tc>
        <w:tc>
          <w:tcPr>
            <w:tcW w:w="3600" w:type="dxa"/>
            <w:tcBorders>
              <w:top w:val="nil"/>
              <w:left w:val="nil"/>
              <w:bottom w:val="nil"/>
              <w:right w:val="single" w:sz="4" w:space="0" w:color="808080"/>
            </w:tcBorders>
            <w:shd w:val="clear" w:color="000000" w:fill="0070C0"/>
            <w:hideMark/>
          </w:tcPr>
          <w:p w14:paraId="07FFF362" w14:textId="77777777" w:rsidR="001A794F" w:rsidRPr="001A794F" w:rsidRDefault="001A794F" w:rsidP="000B6635">
            <w:pPr>
              <w:spacing w:after="0" w:line="240" w:lineRule="auto"/>
              <w:jc w:val="center"/>
              <w:rPr>
                <w:rFonts w:ascii="Century Gothic" w:eastAsia="Times New Roman" w:hAnsi="Century Gothic" w:cs="Calibri"/>
                <w:b/>
                <w:bCs/>
                <w:color w:val="FFFFFF"/>
                <w:sz w:val="24"/>
                <w:szCs w:val="24"/>
              </w:rPr>
            </w:pPr>
            <w:r>
              <w:rPr>
                <w:rFonts w:ascii="Century Gothic" w:hAnsi="Century Gothic"/>
                <w:b/>
                <w:color w:val="FFFFFF"/>
                <w:sz w:val="24"/>
              </w:rPr>
              <w:t>Níveis de escalonamento</w:t>
            </w:r>
          </w:p>
        </w:tc>
        <w:tc>
          <w:tcPr>
            <w:tcW w:w="3690" w:type="dxa"/>
            <w:tcBorders>
              <w:top w:val="nil"/>
              <w:left w:val="nil"/>
              <w:bottom w:val="nil"/>
              <w:right w:val="single" w:sz="4" w:space="0" w:color="808080"/>
            </w:tcBorders>
            <w:shd w:val="clear" w:color="000000" w:fill="ED7D31"/>
            <w:hideMark/>
          </w:tcPr>
          <w:p w14:paraId="0128A330" w14:textId="77777777" w:rsidR="001A794F" w:rsidRPr="001A794F" w:rsidRDefault="001A794F" w:rsidP="000B6635">
            <w:pPr>
              <w:spacing w:after="0" w:line="240" w:lineRule="auto"/>
              <w:jc w:val="center"/>
              <w:rPr>
                <w:rFonts w:ascii="Century Gothic" w:eastAsia="Times New Roman" w:hAnsi="Century Gothic" w:cs="Calibri"/>
                <w:b/>
                <w:bCs/>
                <w:color w:val="FFFFFF"/>
                <w:sz w:val="24"/>
                <w:szCs w:val="24"/>
              </w:rPr>
            </w:pPr>
            <w:r>
              <w:rPr>
                <w:rFonts w:ascii="Century Gothic" w:hAnsi="Century Gothic"/>
                <w:b/>
                <w:color w:val="FFFFFF"/>
                <w:sz w:val="24"/>
              </w:rPr>
              <w:t>Padrões de escalonamento</w:t>
            </w:r>
          </w:p>
        </w:tc>
        <w:tc>
          <w:tcPr>
            <w:tcW w:w="3780" w:type="dxa"/>
            <w:tcBorders>
              <w:top w:val="nil"/>
              <w:left w:val="nil"/>
              <w:bottom w:val="nil"/>
              <w:right w:val="single" w:sz="4" w:space="0" w:color="808080"/>
            </w:tcBorders>
            <w:shd w:val="clear" w:color="000000" w:fill="00A4C0"/>
            <w:hideMark/>
          </w:tcPr>
          <w:p w14:paraId="0F091ED7" w14:textId="77777777" w:rsidR="001A794F" w:rsidRPr="001A794F" w:rsidRDefault="001A794F" w:rsidP="000B6635">
            <w:pPr>
              <w:spacing w:after="0" w:line="240" w:lineRule="auto"/>
              <w:jc w:val="center"/>
              <w:rPr>
                <w:rFonts w:ascii="Century Gothic" w:eastAsia="Times New Roman" w:hAnsi="Century Gothic" w:cs="Calibri"/>
                <w:b/>
                <w:bCs/>
                <w:color w:val="FFFFFF"/>
                <w:sz w:val="24"/>
                <w:szCs w:val="24"/>
              </w:rPr>
            </w:pPr>
            <w:r>
              <w:rPr>
                <w:rFonts w:ascii="Century Gothic" w:hAnsi="Century Gothic"/>
                <w:b/>
                <w:color w:val="FFFFFF"/>
                <w:sz w:val="24"/>
              </w:rPr>
              <w:t>Participantes</w:t>
            </w:r>
          </w:p>
        </w:tc>
      </w:tr>
      <w:tr w:rsidR="001A794F" w:rsidRPr="001A794F" w14:paraId="7E37735C" w14:textId="77777777" w:rsidTr="000B6635">
        <w:trPr>
          <w:trHeight w:val="1040"/>
        </w:trPr>
        <w:tc>
          <w:tcPr>
            <w:tcW w:w="3325" w:type="dxa"/>
            <w:tcBorders>
              <w:top w:val="nil"/>
              <w:left w:val="single" w:sz="4" w:space="0" w:color="808080"/>
              <w:bottom w:val="nil"/>
              <w:right w:val="single" w:sz="4" w:space="0" w:color="808080"/>
            </w:tcBorders>
            <w:shd w:val="clear" w:color="000000" w:fill="FF5353"/>
            <w:hideMark/>
          </w:tcPr>
          <w:p w14:paraId="0FE766D7" w14:textId="77777777" w:rsidR="001A794F" w:rsidRPr="001A794F" w:rsidRDefault="001A794F" w:rsidP="000B6635">
            <w:pPr>
              <w:spacing w:after="0" w:line="240" w:lineRule="auto"/>
              <w:jc w:val="center"/>
              <w:rPr>
                <w:rFonts w:ascii="Century Gothic" w:eastAsia="Times New Roman" w:hAnsi="Century Gothic" w:cs="Calibri"/>
                <w:b/>
                <w:bCs/>
                <w:color w:val="FFFFFF"/>
                <w:sz w:val="28"/>
                <w:szCs w:val="28"/>
              </w:rPr>
            </w:pPr>
            <w:r>
              <w:rPr>
                <w:rFonts w:ascii="Century Gothic" w:hAnsi="Century Gothic"/>
                <w:b/>
                <w:color w:val="FFFFFF"/>
                <w:sz w:val="28"/>
              </w:rPr>
              <w:t> </w:t>
            </w:r>
          </w:p>
        </w:tc>
        <w:tc>
          <w:tcPr>
            <w:tcW w:w="3600" w:type="dxa"/>
            <w:tcBorders>
              <w:top w:val="nil"/>
              <w:left w:val="nil"/>
              <w:bottom w:val="nil"/>
              <w:right w:val="single" w:sz="4" w:space="0" w:color="808080"/>
            </w:tcBorders>
            <w:shd w:val="clear" w:color="000000" w:fill="0070C0"/>
            <w:hideMark/>
          </w:tcPr>
          <w:p w14:paraId="3B610B44" w14:textId="77777777" w:rsidR="001A794F" w:rsidRPr="001A794F" w:rsidRDefault="001A794F" w:rsidP="000B6635">
            <w:pPr>
              <w:spacing w:line="240" w:lineRule="auto"/>
              <w:jc w:val="center"/>
              <w:rPr>
                <w:rFonts w:ascii="Century Gothic" w:eastAsia="Times New Roman" w:hAnsi="Century Gothic" w:cs="Calibri"/>
                <w:i/>
                <w:iCs/>
                <w:color w:val="FFFFFF"/>
              </w:rPr>
            </w:pPr>
            <w:r>
              <w:rPr>
                <w:rFonts w:ascii="Century Gothic" w:hAnsi="Century Gothic"/>
                <w:i/>
                <w:color w:val="FFFFFF"/>
              </w:rPr>
              <w:t>Define o nível de urgência e as etapas de resposta correspondentes</w:t>
            </w:r>
          </w:p>
        </w:tc>
        <w:tc>
          <w:tcPr>
            <w:tcW w:w="3690" w:type="dxa"/>
            <w:tcBorders>
              <w:top w:val="nil"/>
              <w:left w:val="nil"/>
              <w:bottom w:val="nil"/>
              <w:right w:val="single" w:sz="4" w:space="0" w:color="808080"/>
            </w:tcBorders>
            <w:shd w:val="clear" w:color="000000" w:fill="ED7D31"/>
            <w:hideMark/>
          </w:tcPr>
          <w:p w14:paraId="14F9FC48" w14:textId="77777777" w:rsidR="001A794F" w:rsidRPr="001A794F" w:rsidRDefault="001A794F" w:rsidP="000B6635">
            <w:pPr>
              <w:spacing w:after="0" w:line="240" w:lineRule="auto"/>
              <w:jc w:val="center"/>
              <w:rPr>
                <w:rFonts w:ascii="Century Gothic" w:eastAsia="Times New Roman" w:hAnsi="Century Gothic" w:cs="Calibri"/>
                <w:i/>
                <w:iCs/>
                <w:color w:val="FFFFFF"/>
              </w:rPr>
            </w:pPr>
            <w:r>
              <w:rPr>
                <w:rFonts w:ascii="Century Gothic" w:hAnsi="Century Gothic"/>
                <w:i/>
                <w:color w:val="FFFFFF"/>
              </w:rPr>
              <w:t>Descreve os critérios para escalonar um problema no contexto de serviços de saúde</w:t>
            </w:r>
          </w:p>
        </w:tc>
        <w:tc>
          <w:tcPr>
            <w:tcW w:w="3780" w:type="dxa"/>
            <w:tcBorders>
              <w:top w:val="nil"/>
              <w:left w:val="nil"/>
              <w:bottom w:val="nil"/>
              <w:right w:val="single" w:sz="4" w:space="0" w:color="808080"/>
            </w:tcBorders>
            <w:shd w:val="clear" w:color="000000" w:fill="00A4C0"/>
            <w:hideMark/>
          </w:tcPr>
          <w:p w14:paraId="5550220F" w14:textId="77777777" w:rsidR="001A794F" w:rsidRPr="001A794F" w:rsidRDefault="001A794F" w:rsidP="000B6635">
            <w:pPr>
              <w:spacing w:after="0" w:line="240" w:lineRule="auto"/>
              <w:jc w:val="center"/>
              <w:rPr>
                <w:rFonts w:ascii="Century Gothic" w:eastAsia="Times New Roman" w:hAnsi="Century Gothic" w:cs="Calibri"/>
                <w:i/>
                <w:iCs/>
                <w:color w:val="FFFFFF"/>
              </w:rPr>
            </w:pPr>
            <w:r>
              <w:rPr>
                <w:rFonts w:ascii="Century Gothic" w:hAnsi="Century Gothic"/>
                <w:i/>
                <w:color w:val="FFFFFF"/>
              </w:rPr>
              <w:t>Lista as pessoas ou equipes envolvidas em cada nível</w:t>
            </w:r>
          </w:p>
        </w:tc>
      </w:tr>
      <w:tr w:rsidR="001A794F" w:rsidRPr="001A794F" w14:paraId="615A9B9F" w14:textId="77777777" w:rsidTr="000B6635">
        <w:trPr>
          <w:trHeight w:val="1300"/>
        </w:trPr>
        <w:tc>
          <w:tcPr>
            <w:tcW w:w="3325" w:type="dxa"/>
            <w:tcBorders>
              <w:top w:val="single" w:sz="8" w:space="0" w:color="808080"/>
              <w:left w:val="single" w:sz="4" w:space="0" w:color="808080"/>
              <w:bottom w:val="single" w:sz="4" w:space="0" w:color="808080"/>
              <w:right w:val="single" w:sz="4" w:space="0" w:color="808080"/>
            </w:tcBorders>
            <w:shd w:val="clear" w:color="000000" w:fill="E7E6E6"/>
            <w:vAlign w:val="center"/>
            <w:hideMark/>
          </w:tcPr>
          <w:p w14:paraId="30518F6D" w14:textId="77777777" w:rsidR="001A794F" w:rsidRPr="001A794F" w:rsidRDefault="001A794F" w:rsidP="000B6635">
            <w:pPr>
              <w:spacing w:after="0" w:line="240" w:lineRule="auto"/>
              <w:rPr>
                <w:rFonts w:ascii="Century Gothic" w:eastAsia="Times New Roman" w:hAnsi="Century Gothic" w:cs="Calibri"/>
                <w:b/>
                <w:bCs/>
                <w:color w:val="000000"/>
                <w:sz w:val="24"/>
                <w:szCs w:val="24"/>
              </w:rPr>
            </w:pPr>
            <w:r>
              <w:rPr>
                <w:rFonts w:ascii="Century Gothic" w:hAnsi="Century Gothic"/>
                <w:b/>
                <w:color w:val="000000"/>
                <w:sz w:val="24"/>
              </w:rPr>
              <w:t>Preocupação com a segurança do paciente</w:t>
            </w:r>
          </w:p>
        </w:tc>
        <w:tc>
          <w:tcPr>
            <w:tcW w:w="3600" w:type="dxa"/>
            <w:tcBorders>
              <w:top w:val="single" w:sz="8" w:space="0" w:color="808080"/>
              <w:left w:val="nil"/>
              <w:bottom w:val="single" w:sz="4" w:space="0" w:color="808080"/>
              <w:right w:val="single" w:sz="4" w:space="0" w:color="808080"/>
            </w:tcBorders>
            <w:shd w:val="clear" w:color="000000" w:fill="FFFFFF"/>
            <w:vAlign w:val="center"/>
            <w:hideMark/>
          </w:tcPr>
          <w:p w14:paraId="43F81DF1" w14:textId="77777777" w:rsidR="001A794F" w:rsidRPr="001A794F" w:rsidRDefault="001A794F" w:rsidP="000B6635">
            <w:pPr>
              <w:spacing w:after="0" w:line="240" w:lineRule="auto"/>
              <w:rPr>
                <w:rFonts w:ascii="Century Gothic" w:eastAsia="Times New Roman" w:hAnsi="Century Gothic" w:cs="Calibri"/>
                <w:color w:val="000000"/>
              </w:rPr>
            </w:pPr>
            <w:r>
              <w:rPr>
                <w:rFonts w:ascii="Century Gothic" w:hAnsi="Century Gothic"/>
                <w:color w:val="000000"/>
              </w:rPr>
              <w:t>Nível 1 - Resposta imediata</w:t>
            </w:r>
          </w:p>
        </w:tc>
        <w:tc>
          <w:tcPr>
            <w:tcW w:w="3690" w:type="dxa"/>
            <w:tcBorders>
              <w:top w:val="single" w:sz="8" w:space="0" w:color="808080"/>
              <w:left w:val="nil"/>
              <w:bottom w:val="single" w:sz="4" w:space="0" w:color="808080"/>
              <w:right w:val="single" w:sz="4" w:space="0" w:color="808080"/>
            </w:tcBorders>
            <w:shd w:val="clear" w:color="000000" w:fill="FFFFFF"/>
            <w:vAlign w:val="center"/>
            <w:hideMark/>
          </w:tcPr>
          <w:p w14:paraId="20A17C1F" w14:textId="77777777" w:rsidR="001A794F" w:rsidRPr="001A794F" w:rsidRDefault="001A794F" w:rsidP="000B6635">
            <w:pPr>
              <w:spacing w:after="0" w:line="240" w:lineRule="auto"/>
              <w:rPr>
                <w:rFonts w:ascii="Century Gothic" w:eastAsia="Times New Roman" w:hAnsi="Century Gothic" w:cs="Calibri"/>
                <w:color w:val="000000"/>
              </w:rPr>
            </w:pPr>
            <w:r>
              <w:rPr>
                <w:rFonts w:ascii="Century Gothic" w:hAnsi="Century Gothic"/>
                <w:color w:val="000000"/>
              </w:rPr>
              <w:t>Qualquer ameaça à segurança do paciente, incluindo falha de equipamento ou erros de procedimento</w:t>
            </w:r>
          </w:p>
        </w:tc>
        <w:tc>
          <w:tcPr>
            <w:tcW w:w="3780" w:type="dxa"/>
            <w:tcBorders>
              <w:top w:val="single" w:sz="8" w:space="0" w:color="808080"/>
              <w:left w:val="nil"/>
              <w:bottom w:val="single" w:sz="4" w:space="0" w:color="808080"/>
              <w:right w:val="single" w:sz="4" w:space="0" w:color="808080"/>
            </w:tcBorders>
            <w:shd w:val="clear" w:color="000000" w:fill="FFFFFF"/>
            <w:vAlign w:val="center"/>
            <w:hideMark/>
          </w:tcPr>
          <w:p w14:paraId="6E23755E" w14:textId="77777777" w:rsidR="001A794F" w:rsidRPr="001A794F" w:rsidRDefault="001A794F" w:rsidP="000B6635">
            <w:pPr>
              <w:spacing w:after="0" w:line="240" w:lineRule="auto"/>
              <w:rPr>
                <w:rFonts w:ascii="Century Gothic" w:eastAsia="Times New Roman" w:hAnsi="Century Gothic" w:cs="Calibri"/>
                <w:color w:val="000000"/>
              </w:rPr>
            </w:pPr>
            <w:r>
              <w:rPr>
                <w:rFonts w:ascii="Century Gothic" w:hAnsi="Century Gothic"/>
                <w:color w:val="000000"/>
              </w:rPr>
              <w:t>Enfermeiro de plantão, responsável pela segurança, diretor médico</w:t>
            </w:r>
          </w:p>
        </w:tc>
      </w:tr>
      <w:tr w:rsidR="001A794F" w:rsidRPr="001A794F" w14:paraId="39DDE4C6" w14:textId="77777777" w:rsidTr="000B6635">
        <w:trPr>
          <w:trHeight w:val="1300"/>
        </w:trPr>
        <w:tc>
          <w:tcPr>
            <w:tcW w:w="3325" w:type="dxa"/>
            <w:tcBorders>
              <w:top w:val="nil"/>
              <w:left w:val="single" w:sz="4" w:space="0" w:color="808080"/>
              <w:bottom w:val="single" w:sz="4" w:space="0" w:color="808080"/>
              <w:right w:val="single" w:sz="4" w:space="0" w:color="808080"/>
            </w:tcBorders>
            <w:shd w:val="clear" w:color="000000" w:fill="E7E6E6"/>
            <w:vAlign w:val="center"/>
            <w:hideMark/>
          </w:tcPr>
          <w:p w14:paraId="6C1101FE" w14:textId="77777777" w:rsidR="001A794F" w:rsidRPr="001A794F" w:rsidRDefault="001A794F" w:rsidP="000B6635">
            <w:pPr>
              <w:spacing w:after="0" w:line="240" w:lineRule="auto"/>
              <w:rPr>
                <w:rFonts w:ascii="Century Gothic" w:eastAsia="Times New Roman" w:hAnsi="Century Gothic" w:cs="Calibri"/>
                <w:b/>
                <w:bCs/>
                <w:color w:val="000000"/>
                <w:sz w:val="24"/>
                <w:szCs w:val="24"/>
              </w:rPr>
            </w:pPr>
            <w:r>
              <w:rPr>
                <w:rFonts w:ascii="Century Gothic" w:hAnsi="Century Gothic"/>
                <w:b/>
                <w:color w:val="000000"/>
                <w:sz w:val="24"/>
              </w:rPr>
              <w:t>Atraso nos resultados do laboratório</w:t>
            </w:r>
          </w:p>
        </w:tc>
        <w:tc>
          <w:tcPr>
            <w:tcW w:w="3600" w:type="dxa"/>
            <w:tcBorders>
              <w:top w:val="nil"/>
              <w:left w:val="nil"/>
              <w:bottom w:val="single" w:sz="4" w:space="0" w:color="808080"/>
              <w:right w:val="single" w:sz="4" w:space="0" w:color="808080"/>
            </w:tcBorders>
            <w:shd w:val="clear" w:color="000000" w:fill="FFFFFF"/>
            <w:vAlign w:val="center"/>
            <w:hideMark/>
          </w:tcPr>
          <w:p w14:paraId="6386684E" w14:textId="77777777" w:rsidR="001A794F" w:rsidRPr="001A794F" w:rsidRDefault="001A794F" w:rsidP="000B6635">
            <w:pPr>
              <w:spacing w:after="0" w:line="240" w:lineRule="auto"/>
              <w:rPr>
                <w:rFonts w:ascii="Century Gothic" w:eastAsia="Times New Roman" w:hAnsi="Century Gothic" w:cs="Calibri"/>
                <w:color w:val="000000"/>
              </w:rPr>
            </w:pPr>
            <w:r>
              <w:rPr>
                <w:rFonts w:ascii="Century Gothic" w:hAnsi="Century Gothic"/>
                <w:color w:val="000000"/>
              </w:rPr>
              <w:t>Nível 2 - Prioridade alta</w:t>
            </w:r>
          </w:p>
        </w:tc>
        <w:tc>
          <w:tcPr>
            <w:tcW w:w="3690" w:type="dxa"/>
            <w:tcBorders>
              <w:top w:val="nil"/>
              <w:left w:val="nil"/>
              <w:bottom w:val="single" w:sz="4" w:space="0" w:color="808080"/>
              <w:right w:val="single" w:sz="4" w:space="0" w:color="808080"/>
            </w:tcBorders>
            <w:shd w:val="clear" w:color="000000" w:fill="FFFFFF"/>
            <w:vAlign w:val="center"/>
            <w:hideMark/>
          </w:tcPr>
          <w:p w14:paraId="365C5C11" w14:textId="77777777" w:rsidR="001A794F" w:rsidRPr="001A794F" w:rsidRDefault="001A794F" w:rsidP="000B6635">
            <w:pPr>
              <w:spacing w:after="0" w:line="240" w:lineRule="auto"/>
              <w:rPr>
                <w:rFonts w:ascii="Century Gothic" w:eastAsia="Times New Roman" w:hAnsi="Century Gothic" w:cs="Calibri"/>
                <w:color w:val="000000"/>
              </w:rPr>
            </w:pPr>
            <w:r>
              <w:rPr>
                <w:rFonts w:ascii="Century Gothic" w:hAnsi="Century Gothic"/>
                <w:color w:val="000000"/>
              </w:rPr>
              <w:t>Atrasos superiores a 24 horas para resultados laboratoriais críticos</w:t>
            </w:r>
          </w:p>
        </w:tc>
        <w:tc>
          <w:tcPr>
            <w:tcW w:w="3780" w:type="dxa"/>
            <w:tcBorders>
              <w:top w:val="nil"/>
              <w:left w:val="nil"/>
              <w:bottom w:val="single" w:sz="4" w:space="0" w:color="808080"/>
              <w:right w:val="single" w:sz="4" w:space="0" w:color="808080"/>
            </w:tcBorders>
            <w:shd w:val="clear" w:color="000000" w:fill="FFFFFF"/>
            <w:vAlign w:val="center"/>
            <w:hideMark/>
          </w:tcPr>
          <w:p w14:paraId="1044C8F4" w14:textId="77777777" w:rsidR="001A794F" w:rsidRPr="001A794F" w:rsidRDefault="001A794F" w:rsidP="000B6635">
            <w:pPr>
              <w:spacing w:after="0" w:line="240" w:lineRule="auto"/>
              <w:rPr>
                <w:rFonts w:ascii="Century Gothic" w:eastAsia="Times New Roman" w:hAnsi="Century Gothic" w:cs="Calibri"/>
                <w:color w:val="000000"/>
              </w:rPr>
            </w:pPr>
            <w:r>
              <w:rPr>
                <w:rFonts w:ascii="Century Gothic" w:hAnsi="Century Gothic"/>
                <w:color w:val="000000"/>
              </w:rPr>
              <w:t>Técnico de laboratório, supervisor de departamento, prestador de serviços de saúde</w:t>
            </w:r>
          </w:p>
        </w:tc>
      </w:tr>
      <w:tr w:rsidR="001A794F" w:rsidRPr="001A794F" w14:paraId="4C73F7F2" w14:textId="77777777" w:rsidTr="000B6635">
        <w:trPr>
          <w:trHeight w:val="1300"/>
        </w:trPr>
        <w:tc>
          <w:tcPr>
            <w:tcW w:w="3325" w:type="dxa"/>
            <w:tcBorders>
              <w:top w:val="nil"/>
              <w:left w:val="single" w:sz="4" w:space="0" w:color="808080"/>
              <w:bottom w:val="single" w:sz="4" w:space="0" w:color="808080"/>
              <w:right w:val="single" w:sz="4" w:space="0" w:color="808080"/>
            </w:tcBorders>
            <w:shd w:val="clear" w:color="000000" w:fill="E7E6E6"/>
            <w:vAlign w:val="center"/>
            <w:hideMark/>
          </w:tcPr>
          <w:p w14:paraId="109E593F" w14:textId="77777777" w:rsidR="001A794F" w:rsidRPr="001A794F" w:rsidRDefault="001A794F" w:rsidP="000B6635">
            <w:pPr>
              <w:spacing w:after="0" w:line="240" w:lineRule="auto"/>
              <w:rPr>
                <w:rFonts w:ascii="Century Gothic" w:eastAsia="Times New Roman" w:hAnsi="Century Gothic" w:cs="Calibri"/>
                <w:b/>
                <w:bCs/>
                <w:color w:val="000000"/>
                <w:sz w:val="24"/>
                <w:szCs w:val="24"/>
              </w:rPr>
            </w:pPr>
            <w:r>
              <w:rPr>
                <w:rFonts w:ascii="Century Gothic" w:hAnsi="Century Gothic"/>
                <w:b/>
                <w:color w:val="000000"/>
                <w:sz w:val="24"/>
              </w:rPr>
              <w:t>Violação da privacidade de dados</w:t>
            </w:r>
          </w:p>
        </w:tc>
        <w:tc>
          <w:tcPr>
            <w:tcW w:w="3600" w:type="dxa"/>
            <w:tcBorders>
              <w:top w:val="nil"/>
              <w:left w:val="nil"/>
              <w:bottom w:val="single" w:sz="4" w:space="0" w:color="808080"/>
              <w:right w:val="single" w:sz="4" w:space="0" w:color="808080"/>
            </w:tcBorders>
            <w:shd w:val="clear" w:color="000000" w:fill="FFFFFF"/>
            <w:vAlign w:val="center"/>
            <w:hideMark/>
          </w:tcPr>
          <w:p w14:paraId="25D28D25" w14:textId="77777777" w:rsidR="001A794F" w:rsidRPr="001A794F" w:rsidRDefault="001A794F" w:rsidP="000B6635">
            <w:pPr>
              <w:spacing w:after="0" w:line="240" w:lineRule="auto"/>
              <w:rPr>
                <w:rFonts w:ascii="Century Gothic" w:eastAsia="Times New Roman" w:hAnsi="Century Gothic" w:cs="Calibri"/>
                <w:color w:val="000000"/>
              </w:rPr>
            </w:pPr>
            <w:r>
              <w:rPr>
                <w:rFonts w:ascii="Century Gothic" w:hAnsi="Century Gothic"/>
                <w:color w:val="000000"/>
              </w:rPr>
              <w:t>Nível 3 - Crítico</w:t>
            </w:r>
          </w:p>
        </w:tc>
        <w:tc>
          <w:tcPr>
            <w:tcW w:w="3690" w:type="dxa"/>
            <w:tcBorders>
              <w:top w:val="nil"/>
              <w:left w:val="nil"/>
              <w:bottom w:val="single" w:sz="4" w:space="0" w:color="808080"/>
              <w:right w:val="single" w:sz="4" w:space="0" w:color="808080"/>
            </w:tcBorders>
            <w:shd w:val="clear" w:color="000000" w:fill="FFFFFF"/>
            <w:vAlign w:val="center"/>
            <w:hideMark/>
          </w:tcPr>
          <w:p w14:paraId="197D9451" w14:textId="77777777" w:rsidR="001A794F" w:rsidRPr="001A794F" w:rsidRDefault="001A794F" w:rsidP="000B6635">
            <w:pPr>
              <w:spacing w:after="0" w:line="240" w:lineRule="auto"/>
              <w:rPr>
                <w:rFonts w:ascii="Century Gothic" w:eastAsia="Times New Roman" w:hAnsi="Century Gothic" w:cs="Calibri"/>
                <w:color w:val="000000"/>
              </w:rPr>
            </w:pPr>
            <w:r>
              <w:rPr>
                <w:rFonts w:ascii="Century Gothic" w:hAnsi="Century Gothic"/>
                <w:color w:val="000000"/>
              </w:rPr>
              <w:t>Qualquer acesso não autorizado ou perda de dados de pacientes</w:t>
            </w:r>
          </w:p>
        </w:tc>
        <w:tc>
          <w:tcPr>
            <w:tcW w:w="3780" w:type="dxa"/>
            <w:tcBorders>
              <w:top w:val="nil"/>
              <w:left w:val="nil"/>
              <w:bottom w:val="single" w:sz="4" w:space="0" w:color="808080"/>
              <w:right w:val="single" w:sz="4" w:space="0" w:color="808080"/>
            </w:tcBorders>
            <w:shd w:val="clear" w:color="000000" w:fill="FFFFFF"/>
            <w:vAlign w:val="center"/>
            <w:hideMark/>
          </w:tcPr>
          <w:p w14:paraId="01AFB308" w14:textId="77777777" w:rsidR="001A794F" w:rsidRPr="001A794F" w:rsidRDefault="001A794F" w:rsidP="000B6635">
            <w:pPr>
              <w:spacing w:after="0" w:line="240" w:lineRule="auto"/>
              <w:rPr>
                <w:rFonts w:ascii="Century Gothic" w:eastAsia="Times New Roman" w:hAnsi="Century Gothic" w:cs="Calibri"/>
                <w:color w:val="000000"/>
              </w:rPr>
            </w:pPr>
            <w:r>
              <w:rPr>
                <w:rFonts w:ascii="Century Gothic" w:hAnsi="Century Gothic"/>
                <w:color w:val="000000"/>
              </w:rPr>
              <w:t>Equipe de segurança de TI, diretor de conformidade, consultor jurídico</w:t>
            </w:r>
          </w:p>
        </w:tc>
      </w:tr>
      <w:tr w:rsidR="001A794F" w:rsidRPr="001A794F" w14:paraId="5675B8DD" w14:textId="77777777" w:rsidTr="000B6635">
        <w:trPr>
          <w:trHeight w:val="1300"/>
        </w:trPr>
        <w:tc>
          <w:tcPr>
            <w:tcW w:w="3325" w:type="dxa"/>
            <w:tcBorders>
              <w:top w:val="nil"/>
              <w:left w:val="single" w:sz="4" w:space="0" w:color="808080"/>
              <w:bottom w:val="single" w:sz="4" w:space="0" w:color="808080"/>
              <w:right w:val="single" w:sz="4" w:space="0" w:color="808080"/>
            </w:tcBorders>
            <w:shd w:val="clear" w:color="000000" w:fill="E7E6E6"/>
            <w:vAlign w:val="center"/>
            <w:hideMark/>
          </w:tcPr>
          <w:p w14:paraId="17FBE80B" w14:textId="77777777" w:rsidR="001A794F" w:rsidRPr="001A794F" w:rsidRDefault="001A794F" w:rsidP="000B6635">
            <w:pPr>
              <w:spacing w:after="0" w:line="240" w:lineRule="auto"/>
              <w:rPr>
                <w:rFonts w:ascii="Century Gothic" w:eastAsia="Times New Roman" w:hAnsi="Century Gothic" w:cs="Calibri"/>
                <w:b/>
                <w:bCs/>
                <w:color w:val="000000"/>
                <w:sz w:val="24"/>
                <w:szCs w:val="24"/>
              </w:rPr>
            </w:pPr>
            <w:r>
              <w:rPr>
                <w:rFonts w:ascii="Century Gothic" w:hAnsi="Century Gothic"/>
                <w:b/>
                <w:color w:val="000000"/>
                <w:sz w:val="24"/>
              </w:rPr>
              <w:t>Falta de funcionários</w:t>
            </w:r>
          </w:p>
        </w:tc>
        <w:tc>
          <w:tcPr>
            <w:tcW w:w="3600" w:type="dxa"/>
            <w:tcBorders>
              <w:top w:val="nil"/>
              <w:left w:val="nil"/>
              <w:bottom w:val="single" w:sz="4" w:space="0" w:color="808080"/>
              <w:right w:val="single" w:sz="4" w:space="0" w:color="808080"/>
            </w:tcBorders>
            <w:shd w:val="clear" w:color="000000" w:fill="FFFFFF"/>
            <w:vAlign w:val="center"/>
            <w:hideMark/>
          </w:tcPr>
          <w:p w14:paraId="3601B268" w14:textId="77777777" w:rsidR="001A794F" w:rsidRPr="001A794F" w:rsidRDefault="001A794F" w:rsidP="000B6635">
            <w:pPr>
              <w:spacing w:after="0" w:line="240" w:lineRule="auto"/>
              <w:rPr>
                <w:rFonts w:ascii="Century Gothic" w:eastAsia="Times New Roman" w:hAnsi="Century Gothic" w:cs="Calibri"/>
                <w:color w:val="000000"/>
              </w:rPr>
            </w:pPr>
            <w:r>
              <w:rPr>
                <w:rFonts w:ascii="Century Gothic" w:hAnsi="Century Gothic"/>
                <w:color w:val="000000"/>
              </w:rPr>
              <w:t>Nível 4 - Prioridade moderada</w:t>
            </w:r>
          </w:p>
        </w:tc>
        <w:tc>
          <w:tcPr>
            <w:tcW w:w="3690" w:type="dxa"/>
            <w:tcBorders>
              <w:top w:val="nil"/>
              <w:left w:val="nil"/>
              <w:bottom w:val="single" w:sz="4" w:space="0" w:color="808080"/>
              <w:right w:val="single" w:sz="4" w:space="0" w:color="808080"/>
            </w:tcBorders>
            <w:shd w:val="clear" w:color="000000" w:fill="FFFFFF"/>
            <w:vAlign w:val="center"/>
            <w:hideMark/>
          </w:tcPr>
          <w:p w14:paraId="7A261366" w14:textId="77777777" w:rsidR="001A794F" w:rsidRPr="001A794F" w:rsidRDefault="001A794F" w:rsidP="000B6635">
            <w:pPr>
              <w:spacing w:after="0" w:line="240" w:lineRule="auto"/>
              <w:rPr>
                <w:rFonts w:ascii="Century Gothic" w:eastAsia="Times New Roman" w:hAnsi="Century Gothic" w:cs="Calibri"/>
                <w:color w:val="000000"/>
              </w:rPr>
            </w:pPr>
            <w:r>
              <w:rPr>
                <w:rFonts w:ascii="Century Gothic" w:hAnsi="Century Gothic"/>
                <w:color w:val="000000"/>
              </w:rPr>
              <w:t>Quantidade de funcionários abaixo dos requisitos mínimos para atendimento seguro do paciente</w:t>
            </w:r>
          </w:p>
        </w:tc>
        <w:tc>
          <w:tcPr>
            <w:tcW w:w="3780" w:type="dxa"/>
            <w:tcBorders>
              <w:top w:val="nil"/>
              <w:left w:val="nil"/>
              <w:bottom w:val="single" w:sz="4" w:space="0" w:color="808080"/>
              <w:right w:val="single" w:sz="4" w:space="0" w:color="808080"/>
            </w:tcBorders>
            <w:shd w:val="clear" w:color="000000" w:fill="FFFFFF"/>
            <w:vAlign w:val="center"/>
            <w:hideMark/>
          </w:tcPr>
          <w:p w14:paraId="21C3252B" w14:textId="77777777" w:rsidR="001A794F" w:rsidRPr="001A794F" w:rsidRDefault="001A794F" w:rsidP="000B6635">
            <w:pPr>
              <w:spacing w:after="0" w:line="240" w:lineRule="auto"/>
              <w:rPr>
                <w:rFonts w:ascii="Century Gothic" w:eastAsia="Times New Roman" w:hAnsi="Century Gothic" w:cs="Calibri"/>
                <w:color w:val="000000"/>
              </w:rPr>
            </w:pPr>
            <w:r>
              <w:rPr>
                <w:rFonts w:ascii="Century Gothic" w:hAnsi="Century Gothic"/>
                <w:color w:val="000000"/>
              </w:rPr>
              <w:t>Recursos Humanos, chefes de departamento, gerente de enfermagem</w:t>
            </w:r>
          </w:p>
        </w:tc>
      </w:tr>
      <w:tr w:rsidR="001A794F" w:rsidRPr="001A794F" w14:paraId="480FF4A1" w14:textId="77777777" w:rsidTr="000B6635">
        <w:trPr>
          <w:trHeight w:val="1300"/>
        </w:trPr>
        <w:tc>
          <w:tcPr>
            <w:tcW w:w="3325" w:type="dxa"/>
            <w:tcBorders>
              <w:top w:val="nil"/>
              <w:left w:val="single" w:sz="4" w:space="0" w:color="808080"/>
              <w:bottom w:val="single" w:sz="4" w:space="0" w:color="808080"/>
              <w:right w:val="single" w:sz="4" w:space="0" w:color="808080"/>
            </w:tcBorders>
            <w:shd w:val="clear" w:color="000000" w:fill="E7E6E6"/>
            <w:vAlign w:val="center"/>
            <w:hideMark/>
          </w:tcPr>
          <w:p w14:paraId="7D41D2BE" w14:textId="77777777" w:rsidR="001A794F" w:rsidRPr="001A794F" w:rsidRDefault="001A794F" w:rsidP="000B6635">
            <w:pPr>
              <w:spacing w:after="0" w:line="240" w:lineRule="auto"/>
              <w:rPr>
                <w:rFonts w:ascii="Century Gothic" w:eastAsia="Times New Roman" w:hAnsi="Century Gothic" w:cs="Calibri"/>
                <w:b/>
                <w:bCs/>
                <w:color w:val="000000"/>
                <w:sz w:val="24"/>
                <w:szCs w:val="24"/>
              </w:rPr>
            </w:pPr>
            <w:r>
              <w:rPr>
                <w:rFonts w:ascii="Century Gothic" w:hAnsi="Century Gothic"/>
                <w:b/>
                <w:color w:val="000000"/>
                <w:sz w:val="24"/>
              </w:rPr>
              <w:t>Defeito em equipamento</w:t>
            </w:r>
          </w:p>
        </w:tc>
        <w:tc>
          <w:tcPr>
            <w:tcW w:w="3600" w:type="dxa"/>
            <w:tcBorders>
              <w:top w:val="nil"/>
              <w:left w:val="nil"/>
              <w:bottom w:val="single" w:sz="4" w:space="0" w:color="808080"/>
              <w:right w:val="single" w:sz="4" w:space="0" w:color="808080"/>
            </w:tcBorders>
            <w:shd w:val="clear" w:color="000000" w:fill="FFFFFF"/>
            <w:vAlign w:val="center"/>
            <w:hideMark/>
          </w:tcPr>
          <w:p w14:paraId="613EC8C5" w14:textId="77777777" w:rsidR="001A794F" w:rsidRPr="001A794F" w:rsidRDefault="001A794F" w:rsidP="000B6635">
            <w:pPr>
              <w:spacing w:after="0" w:line="240" w:lineRule="auto"/>
              <w:rPr>
                <w:rFonts w:ascii="Century Gothic" w:eastAsia="Times New Roman" w:hAnsi="Century Gothic" w:cs="Calibri"/>
                <w:color w:val="000000"/>
              </w:rPr>
            </w:pPr>
            <w:r>
              <w:rPr>
                <w:rFonts w:ascii="Century Gothic" w:hAnsi="Century Gothic"/>
                <w:color w:val="000000"/>
              </w:rPr>
              <w:t>Nível 1 - Resposta imediata</w:t>
            </w:r>
          </w:p>
        </w:tc>
        <w:tc>
          <w:tcPr>
            <w:tcW w:w="3690" w:type="dxa"/>
            <w:tcBorders>
              <w:top w:val="nil"/>
              <w:left w:val="nil"/>
              <w:bottom w:val="single" w:sz="4" w:space="0" w:color="808080"/>
              <w:right w:val="single" w:sz="4" w:space="0" w:color="808080"/>
            </w:tcBorders>
            <w:shd w:val="clear" w:color="000000" w:fill="FFFFFF"/>
            <w:vAlign w:val="center"/>
            <w:hideMark/>
          </w:tcPr>
          <w:p w14:paraId="40A9103F" w14:textId="77777777" w:rsidR="001A794F" w:rsidRPr="001A794F" w:rsidRDefault="001A794F" w:rsidP="000B6635">
            <w:pPr>
              <w:spacing w:after="0" w:line="240" w:lineRule="auto"/>
              <w:rPr>
                <w:rFonts w:ascii="Century Gothic" w:eastAsia="Times New Roman" w:hAnsi="Century Gothic" w:cs="Calibri"/>
                <w:color w:val="000000"/>
              </w:rPr>
            </w:pPr>
            <w:r>
              <w:rPr>
                <w:rFonts w:ascii="Century Gothic" w:hAnsi="Century Gothic"/>
                <w:color w:val="000000"/>
              </w:rPr>
              <w:t>Um equipamento crítico para o suporte ao paciente não está funcionando corretamente</w:t>
            </w:r>
          </w:p>
        </w:tc>
        <w:tc>
          <w:tcPr>
            <w:tcW w:w="3780" w:type="dxa"/>
            <w:tcBorders>
              <w:top w:val="nil"/>
              <w:left w:val="nil"/>
              <w:bottom w:val="single" w:sz="4" w:space="0" w:color="808080"/>
              <w:right w:val="single" w:sz="4" w:space="0" w:color="808080"/>
            </w:tcBorders>
            <w:shd w:val="clear" w:color="000000" w:fill="FFFFFF"/>
            <w:vAlign w:val="center"/>
            <w:hideMark/>
          </w:tcPr>
          <w:p w14:paraId="30E12332" w14:textId="77777777" w:rsidR="001A794F" w:rsidRPr="001A794F" w:rsidRDefault="001A794F" w:rsidP="000B6635">
            <w:pPr>
              <w:spacing w:after="0" w:line="240" w:lineRule="auto"/>
              <w:rPr>
                <w:rFonts w:ascii="Century Gothic" w:eastAsia="Times New Roman" w:hAnsi="Century Gothic" w:cs="Calibri"/>
                <w:color w:val="000000"/>
              </w:rPr>
            </w:pPr>
            <w:r>
              <w:rPr>
                <w:rFonts w:ascii="Century Gothic" w:hAnsi="Century Gothic"/>
                <w:color w:val="000000"/>
              </w:rPr>
              <w:t>Engenharia biomédica, gerente de departamento, equipe clínica</w:t>
            </w:r>
          </w:p>
        </w:tc>
      </w:tr>
    </w:tbl>
    <w:p w14:paraId="2728988F" w14:textId="77777777" w:rsidR="001A794F" w:rsidRPr="001A794F" w:rsidRDefault="001A794F" w:rsidP="001A794F">
      <w:pPr>
        <w:sectPr w:rsidR="001A794F" w:rsidRPr="001A794F" w:rsidSect="001A794F">
          <w:pgSz w:w="15840" w:h="12240" w:orient="landscape"/>
          <w:pgMar w:top="720" w:right="720" w:bottom="720" w:left="720" w:header="720" w:footer="720" w:gutter="0"/>
          <w:cols w:space="720"/>
          <w:docGrid w:linePitch="360"/>
        </w:sect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1A794F" w:rsidRPr="001A794F" w14:paraId="1C9218FA" w14:textId="77777777" w:rsidTr="000B6635">
        <w:trPr>
          <w:trHeight w:val="3168"/>
        </w:trPr>
        <w:tc>
          <w:tcPr>
            <w:tcW w:w="10530" w:type="dxa"/>
          </w:tcPr>
          <w:p w14:paraId="5B717825" w14:textId="77777777" w:rsidR="001A794F" w:rsidRPr="001A794F" w:rsidRDefault="001A794F" w:rsidP="000B6635">
            <w:pPr>
              <w:jc w:val="center"/>
              <w:rPr>
                <w:rFonts w:ascii="Century Gothic" w:hAnsi="Century Gothic" w:cs="Arial"/>
                <w:b/>
                <w:color w:val="000000" w:themeColor="text1"/>
                <w:sz w:val="20"/>
                <w:szCs w:val="20"/>
              </w:rPr>
            </w:pPr>
          </w:p>
          <w:p w14:paraId="2B1B073F" w14:textId="77777777" w:rsidR="001A794F" w:rsidRPr="001A794F" w:rsidRDefault="001A794F" w:rsidP="000B6635">
            <w:pPr>
              <w:jc w:val="center"/>
              <w:rPr>
                <w:rFonts w:ascii="Century Gothic" w:hAnsi="Century Gothic" w:cs="Arial"/>
                <w:b/>
                <w:color w:val="000000" w:themeColor="text1"/>
                <w:sz w:val="20"/>
                <w:szCs w:val="20"/>
              </w:rPr>
            </w:pPr>
            <w:r>
              <w:rPr>
                <w:rFonts w:ascii="Century Gothic" w:hAnsi="Century Gothic"/>
                <w:b/>
                <w:color w:val="000000" w:themeColor="text1"/>
                <w:sz w:val="20"/>
              </w:rPr>
              <w:t>AVISO DE ISENÇÃO DE RESPONSABILIDADE</w:t>
            </w:r>
          </w:p>
          <w:p w14:paraId="46F1D3A1" w14:textId="77777777" w:rsidR="001A794F" w:rsidRPr="001A794F" w:rsidRDefault="001A794F" w:rsidP="000B6635">
            <w:pPr>
              <w:spacing w:line="276" w:lineRule="auto"/>
              <w:rPr>
                <w:rFonts w:ascii="Century Gothic" w:hAnsi="Century Gothic" w:cs="Arial"/>
                <w:color w:val="000000" w:themeColor="text1"/>
                <w:sz w:val="21"/>
                <w:szCs w:val="18"/>
              </w:rPr>
            </w:pPr>
          </w:p>
          <w:p w14:paraId="465095DD" w14:textId="77777777" w:rsidR="001A794F" w:rsidRPr="001A794F" w:rsidRDefault="001A794F" w:rsidP="000B6635">
            <w:pPr>
              <w:spacing w:line="276" w:lineRule="auto"/>
              <w:rPr>
                <w:rFonts w:ascii="Century Gothic" w:hAnsi="Century Gothic" w:cs="Arial"/>
                <w:color w:val="000000" w:themeColor="text1"/>
                <w:sz w:val="21"/>
                <w:szCs w:val="18"/>
              </w:rPr>
            </w:pPr>
            <w:r>
              <w:rPr>
                <w:rFonts w:ascii="Century Gothic" w:hAnsi="Century Gothic"/>
                <w:color w:val="000000" w:themeColor="text1"/>
                <w:sz w:val="21"/>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nas informações será estritamente por sua própria conta e risco.</w:t>
            </w:r>
          </w:p>
        </w:tc>
      </w:tr>
    </w:tbl>
    <w:p w14:paraId="2BD4F28F" w14:textId="77777777" w:rsidR="001A794F" w:rsidRPr="001A794F" w:rsidRDefault="001A794F" w:rsidP="001A794F">
      <w:pPr>
        <w:rPr>
          <w:rFonts w:ascii="Century Gothic" w:hAnsi="Century Gothic"/>
          <w:b/>
          <w:color w:val="000000" w:themeColor="text1"/>
          <w:sz w:val="32"/>
          <w:szCs w:val="44"/>
        </w:rPr>
      </w:pPr>
    </w:p>
    <w:p w14:paraId="236A1338" w14:textId="77777777" w:rsidR="001A794F" w:rsidRPr="001A794F" w:rsidRDefault="001A794F" w:rsidP="001A794F">
      <w:pPr>
        <w:rPr>
          <w:rFonts w:ascii="Century Gothic" w:hAnsi="Century Gothic"/>
          <w:b/>
          <w:color w:val="000000" w:themeColor="text1"/>
          <w:sz w:val="32"/>
          <w:szCs w:val="44"/>
        </w:rPr>
      </w:pPr>
    </w:p>
    <w:p w14:paraId="377018D2" w14:textId="77777777" w:rsidR="001A794F" w:rsidRPr="001A794F" w:rsidRDefault="001A794F" w:rsidP="001A794F">
      <w:pPr>
        <w:rPr>
          <w:rFonts w:ascii="Century Gothic" w:hAnsi="Century Gothic"/>
          <w:b/>
          <w:color w:val="000000" w:themeColor="text1"/>
          <w:sz w:val="32"/>
          <w:szCs w:val="44"/>
        </w:rPr>
      </w:pPr>
    </w:p>
    <w:p w14:paraId="62750315" w14:textId="77777777" w:rsidR="001A794F" w:rsidRPr="001A794F" w:rsidRDefault="001A794F" w:rsidP="001A794F">
      <w:pPr>
        <w:rPr>
          <w:rFonts w:ascii="Century Gothic" w:hAnsi="Century Gothic"/>
          <w:b/>
          <w:color w:val="000000" w:themeColor="text1"/>
          <w:sz w:val="32"/>
          <w:szCs w:val="44"/>
        </w:rPr>
      </w:pPr>
    </w:p>
    <w:p w14:paraId="3E0431D1" w14:textId="77777777" w:rsidR="001A794F" w:rsidRPr="001A794F" w:rsidRDefault="001A794F" w:rsidP="001A794F">
      <w:pPr>
        <w:rPr>
          <w:rFonts w:ascii="Century Gothic" w:hAnsi="Century Gothic"/>
          <w:sz w:val="16"/>
          <w:szCs w:val="16"/>
        </w:rPr>
      </w:pPr>
    </w:p>
    <w:sectPr w:rsidR="001A794F" w:rsidRPr="001A794F" w:rsidSect="00EF3F57">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CAE5A4" w14:textId="77777777" w:rsidR="00A936E5" w:rsidRPr="001A794F" w:rsidRDefault="00A936E5" w:rsidP="001A794F">
      <w:pPr>
        <w:spacing w:after="0" w:line="240" w:lineRule="auto"/>
      </w:pPr>
      <w:r w:rsidRPr="001A794F">
        <w:separator/>
      </w:r>
    </w:p>
  </w:endnote>
  <w:endnote w:type="continuationSeparator" w:id="0">
    <w:p w14:paraId="2F9E3C68" w14:textId="77777777" w:rsidR="00A936E5" w:rsidRPr="001A794F" w:rsidRDefault="00A936E5" w:rsidP="001A794F">
      <w:pPr>
        <w:spacing w:after="0" w:line="240" w:lineRule="auto"/>
      </w:pPr>
      <w:r w:rsidRPr="001A79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D8DDA" w14:textId="77777777" w:rsidR="001A794F" w:rsidRDefault="001A79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BA834" w14:textId="77777777" w:rsidR="001A794F" w:rsidRDefault="001A79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42311" w14:textId="77777777" w:rsidR="001A794F" w:rsidRDefault="001A7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360D0A" w14:textId="77777777" w:rsidR="00A936E5" w:rsidRPr="001A794F" w:rsidRDefault="00A936E5" w:rsidP="001A794F">
      <w:pPr>
        <w:spacing w:after="0" w:line="240" w:lineRule="auto"/>
      </w:pPr>
      <w:r w:rsidRPr="001A794F">
        <w:separator/>
      </w:r>
    </w:p>
  </w:footnote>
  <w:footnote w:type="continuationSeparator" w:id="0">
    <w:p w14:paraId="3CE4FA02" w14:textId="77777777" w:rsidR="00A936E5" w:rsidRPr="001A794F" w:rsidRDefault="00A936E5" w:rsidP="001A794F">
      <w:pPr>
        <w:spacing w:after="0" w:line="240" w:lineRule="auto"/>
      </w:pPr>
      <w:r w:rsidRPr="001A79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2AAC1" w14:textId="77777777" w:rsidR="001A794F" w:rsidRDefault="001A79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1A53C" w14:textId="77777777" w:rsidR="001A794F" w:rsidRDefault="001A79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F8984" w14:textId="77777777" w:rsidR="001A794F" w:rsidRDefault="001A79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hideGrammaticalErrors/>
  <w:proofState w:spelling="clean" w:grammar="clean"/>
  <w:documentProtection w:edit="forms" w:enforcement="0"/>
  <w:defaultTabStop w:val="720"/>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5048A"/>
    <w:rsid w:val="000C75B6"/>
    <w:rsid w:val="00105BE4"/>
    <w:rsid w:val="001A4B52"/>
    <w:rsid w:val="001A794F"/>
    <w:rsid w:val="001B3653"/>
    <w:rsid w:val="001B7C3E"/>
    <w:rsid w:val="00234166"/>
    <w:rsid w:val="00284804"/>
    <w:rsid w:val="002D018C"/>
    <w:rsid w:val="00306ACB"/>
    <w:rsid w:val="00376F90"/>
    <w:rsid w:val="003C19EC"/>
    <w:rsid w:val="003D5CCC"/>
    <w:rsid w:val="004317A4"/>
    <w:rsid w:val="00484B02"/>
    <w:rsid w:val="005A09F8"/>
    <w:rsid w:val="00603841"/>
    <w:rsid w:val="00627C42"/>
    <w:rsid w:val="006F4B75"/>
    <w:rsid w:val="00703CDB"/>
    <w:rsid w:val="00715ECA"/>
    <w:rsid w:val="00791285"/>
    <w:rsid w:val="008078A7"/>
    <w:rsid w:val="00817382"/>
    <w:rsid w:val="00841805"/>
    <w:rsid w:val="0085348A"/>
    <w:rsid w:val="008F117B"/>
    <w:rsid w:val="00901BF3"/>
    <w:rsid w:val="00A325C5"/>
    <w:rsid w:val="00A6315D"/>
    <w:rsid w:val="00A936E5"/>
    <w:rsid w:val="00AD5974"/>
    <w:rsid w:val="00AF767F"/>
    <w:rsid w:val="00B152B8"/>
    <w:rsid w:val="00B276AD"/>
    <w:rsid w:val="00B61DEB"/>
    <w:rsid w:val="00B91DC0"/>
    <w:rsid w:val="00BF0475"/>
    <w:rsid w:val="00C17A6F"/>
    <w:rsid w:val="00C32AAE"/>
    <w:rsid w:val="00C826A4"/>
    <w:rsid w:val="00CD3360"/>
    <w:rsid w:val="00DF48FB"/>
    <w:rsid w:val="00E02B1C"/>
    <w:rsid w:val="00E62F0F"/>
    <w:rsid w:val="00EB58EE"/>
    <w:rsid w:val="00EF3F57"/>
    <w:rsid w:val="00F246D1"/>
    <w:rsid w:val="00F31AB0"/>
    <w:rsid w:val="00FA63AF"/>
    <w:rsid w:val="00FE2B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78A7"/>
    <w:rPr>
      <w:color w:val="808080"/>
    </w:rPr>
  </w:style>
  <w:style w:type="paragraph" w:styleId="Header">
    <w:name w:val="header"/>
    <w:basedOn w:val="Normal"/>
    <w:link w:val="HeaderChar"/>
    <w:uiPriority w:val="99"/>
    <w:unhideWhenUsed/>
    <w:rsid w:val="001A79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94F"/>
  </w:style>
  <w:style w:type="paragraph" w:styleId="Footer">
    <w:name w:val="footer"/>
    <w:basedOn w:val="Normal"/>
    <w:link w:val="FooterChar"/>
    <w:uiPriority w:val="99"/>
    <w:unhideWhenUsed/>
    <w:rsid w:val="001A79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517624894">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644508022">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87548754">
      <w:bodyDiv w:val="1"/>
      <w:marLeft w:val="0"/>
      <w:marRight w:val="0"/>
      <w:marTop w:val="0"/>
      <w:marBottom w:val="0"/>
      <w:divBdr>
        <w:top w:val="none" w:sz="0" w:space="0" w:color="auto"/>
        <w:left w:val="none" w:sz="0" w:space="0" w:color="auto"/>
        <w:bottom w:val="none" w:sz="0" w:space="0" w:color="auto"/>
        <w:right w:val="none" w:sz="0" w:space="0" w:color="auto"/>
      </w:divBdr>
    </w:div>
    <w:div w:id="1028792808">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502157962">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svg"/><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pt.smartsheet.com/try-it?trp=58131" TargetMode="External"/><Relationship Id="rId11" Type="http://schemas.openxmlformats.org/officeDocument/2006/relationships/image" Target="media/image5.svg"/><Relationship Id="rId5" Type="http://schemas.openxmlformats.org/officeDocument/2006/relationships/endnotes" Target="endnotes.xml"/><Relationship Id="rId15" Type="http://schemas.openxmlformats.org/officeDocument/2006/relationships/image" Target="media/image9.sv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3.sv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c060369</cp:lastModifiedBy>
  <cp:revision>8</cp:revision>
  <dcterms:created xsi:type="dcterms:W3CDTF">2024-07-01T01:18:00Z</dcterms:created>
  <dcterms:modified xsi:type="dcterms:W3CDTF">2024-10-23T02:42:00Z</dcterms:modified>
</cp:coreProperties>
</file>